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71" w:rsidRDefault="00A35BB3" w:rsidP="00660F71">
      <w:pPr>
        <w:spacing w:after="240" w:line="240" w:lineRule="auto"/>
      </w:pPr>
      <w:r w:rsidRPr="00A3412D">
        <w:rPr>
          <w:b/>
          <w:sz w:val="24"/>
          <w:szCs w:val="24"/>
        </w:rPr>
        <w:t>Briefing</w:t>
      </w:r>
      <w:r w:rsidR="00660F71">
        <w:rPr>
          <w:b/>
          <w:sz w:val="24"/>
          <w:szCs w:val="24"/>
        </w:rPr>
        <w:t xml:space="preserve">:  </w:t>
      </w:r>
      <w:r>
        <w:t>Composting Mortality from More Than One Farm Site at a Single Composting Facility</w:t>
      </w:r>
      <w:r w:rsidR="00660F71">
        <w:t xml:space="preserve"> (April 22, 2013).</w:t>
      </w:r>
    </w:p>
    <w:p w:rsidR="00A35BB3" w:rsidRPr="00A3412D" w:rsidRDefault="00A3412D" w:rsidP="002B7F0B">
      <w:pPr>
        <w:spacing w:before="240" w:after="240" w:line="240" w:lineRule="auto"/>
        <w:rPr>
          <w:b/>
          <w:sz w:val="24"/>
          <w:szCs w:val="24"/>
        </w:rPr>
      </w:pPr>
      <w:r w:rsidRPr="00A3412D">
        <w:rPr>
          <w:b/>
          <w:sz w:val="24"/>
          <w:szCs w:val="24"/>
        </w:rPr>
        <w:t>Situation</w:t>
      </w:r>
    </w:p>
    <w:p w:rsidR="00194F6A" w:rsidRPr="002B7F0B" w:rsidRDefault="00194F6A" w:rsidP="00A35BB3">
      <w:pPr>
        <w:spacing w:after="0" w:line="240" w:lineRule="auto"/>
      </w:pPr>
      <w:r w:rsidRPr="00194F6A">
        <w:t>Recently, representatives from MDEQ, MSUE, MNRCS, and MDARD have discussed how the Bodies of Dead Animals</w:t>
      </w:r>
      <w:r w:rsidR="00077D72">
        <w:t xml:space="preserve"> (BODA)</w:t>
      </w:r>
      <w:r w:rsidRPr="00194F6A">
        <w:t xml:space="preserve"> Act 239 of 1982</w:t>
      </w:r>
      <w:r>
        <w:t xml:space="preserve"> </w:t>
      </w:r>
      <w:r w:rsidR="00A3412D">
        <w:t>and Act 451 of 1994: The Natural Resources &amp; Environmental Protection Act (NREPA), Article II: Pollution Control, Chapter I: Point Source Pollution Control, Part 31: Water Resources Protection, Part 21: Was</w:t>
      </w:r>
      <w:bookmarkStart w:id="0" w:name="_GoBack"/>
      <w:bookmarkEnd w:id="0"/>
      <w:r w:rsidR="00A3412D">
        <w:t xml:space="preserve">tewater Discharge Permits </w:t>
      </w:r>
      <w:r w:rsidRPr="00194F6A">
        <w:t xml:space="preserve">can place a multiple-site </w:t>
      </w:r>
      <w:r w:rsidR="00CE208F">
        <w:t xml:space="preserve">livestock </w:t>
      </w:r>
      <w:r w:rsidRPr="00194F6A">
        <w:t>operation, when under common ownership and sharing a common composting facility, in</w:t>
      </w:r>
      <w:r w:rsidR="002B7F0B">
        <w:t>to a permitted CAFO situation.</w:t>
      </w:r>
    </w:p>
    <w:p w:rsidR="00A3412D" w:rsidRPr="00A3412D" w:rsidRDefault="00A3412D" w:rsidP="002B7F0B">
      <w:pPr>
        <w:spacing w:before="240" w:after="240" w:line="240" w:lineRule="auto"/>
        <w:rPr>
          <w:b/>
          <w:sz w:val="24"/>
          <w:szCs w:val="24"/>
        </w:rPr>
      </w:pPr>
      <w:r>
        <w:rPr>
          <w:b/>
          <w:sz w:val="24"/>
          <w:szCs w:val="24"/>
        </w:rPr>
        <w:t>Current Regulations</w:t>
      </w:r>
    </w:p>
    <w:p w:rsidR="00A3412D" w:rsidRDefault="00A35BB3" w:rsidP="00A35BB3">
      <w:pPr>
        <w:spacing w:after="0" w:line="240" w:lineRule="auto"/>
      </w:pPr>
      <w:r>
        <w:t>The Bodies of Dead Animals Act 239 of 1982 reads:</w:t>
      </w:r>
    </w:p>
    <w:p w:rsidR="00A3412D" w:rsidRDefault="00A35BB3" w:rsidP="00A3412D">
      <w:pPr>
        <w:spacing w:after="0" w:line="240" w:lineRule="auto"/>
        <w:ind w:left="540" w:hanging="180"/>
      </w:pPr>
      <w:r>
        <w:t xml:space="preserve"> 287.669 (5) Composting methods shall be used to compost only the normal natural daily mortality associated with </w:t>
      </w:r>
      <w:r w:rsidR="00C31003">
        <w:t>an</w:t>
      </w:r>
      <w:r>
        <w:t xml:space="preserve"> animal production unit under common ownership or management. </w:t>
      </w:r>
    </w:p>
    <w:p w:rsidR="00A3412D" w:rsidRDefault="00A3412D" w:rsidP="00A35BB3">
      <w:pPr>
        <w:spacing w:after="0" w:line="240" w:lineRule="auto"/>
      </w:pPr>
    </w:p>
    <w:p w:rsidR="00A3412D" w:rsidRDefault="00A3412D" w:rsidP="00A35BB3">
      <w:pPr>
        <w:spacing w:after="0" w:line="240" w:lineRule="auto"/>
      </w:pPr>
      <w:r>
        <w:t>T</w:t>
      </w:r>
      <w:r w:rsidR="00A35BB3">
        <w:t xml:space="preserve">he </w:t>
      </w:r>
      <w:r w:rsidR="00C31003">
        <w:t xml:space="preserve">Bodies of Dead Animals Rules read: </w:t>
      </w:r>
    </w:p>
    <w:p w:rsidR="00A35BB3" w:rsidRDefault="00A35BB3" w:rsidP="00A3412D">
      <w:pPr>
        <w:spacing w:after="0" w:line="240" w:lineRule="auto"/>
        <w:ind w:left="540" w:hanging="180"/>
      </w:pPr>
      <w:r>
        <w:t xml:space="preserve">R 287.655 Composting. </w:t>
      </w:r>
      <w:r w:rsidR="00171147">
        <w:t xml:space="preserve"> </w:t>
      </w:r>
      <w:r>
        <w:t>Rule 5. (1) Unless otherwise approved by the director, composting methods shall accommodate only normal daily natural mortality under common ownership, and be designed with capacity for both active composting and curing.</w:t>
      </w:r>
    </w:p>
    <w:p w:rsidR="00A35BB3" w:rsidRDefault="00A35BB3" w:rsidP="00A35BB3">
      <w:pPr>
        <w:spacing w:after="0" w:line="240" w:lineRule="auto"/>
      </w:pPr>
    </w:p>
    <w:p w:rsidR="00A3412D" w:rsidRDefault="00A3412D" w:rsidP="00A3412D">
      <w:pPr>
        <w:spacing w:after="0" w:line="240" w:lineRule="auto"/>
      </w:pPr>
      <w:r>
        <w:t>Act 451 of 1994</w:t>
      </w:r>
      <w:r w:rsidR="006571D2">
        <w:t xml:space="preserve"> </w:t>
      </w:r>
      <w:r>
        <w:t>NREPA</w:t>
      </w:r>
      <w:r w:rsidR="006571D2">
        <w:t xml:space="preserve"> </w:t>
      </w:r>
      <w:r>
        <w:t>states:</w:t>
      </w:r>
    </w:p>
    <w:p w:rsidR="00A3412D" w:rsidRDefault="00A3412D" w:rsidP="00A3412D">
      <w:pPr>
        <w:spacing w:after="0" w:line="240" w:lineRule="auto"/>
        <w:ind w:left="540" w:hanging="180"/>
      </w:pPr>
      <w:r>
        <w:t>Rule 323.2102 (i) “Concentrated animal feeding operation (CAFO)” means ……. Two or more AFOs under common ownership are considered to be a single AFO for the purposes of determining the number of animals at an operation, if they adjoin each other or if they use a common area or system for the disposal of wastes.</w:t>
      </w:r>
    </w:p>
    <w:p w:rsidR="00A3412D" w:rsidRDefault="00A3412D" w:rsidP="00A3412D">
      <w:pPr>
        <w:spacing w:after="0" w:line="240" w:lineRule="auto"/>
        <w:ind w:left="540" w:hanging="180"/>
      </w:pPr>
      <w:r w:rsidRPr="00BA1B6B">
        <w:t>Rule 323.2103 (k) “Manure” is defined to include manure, bedding, compost, and raw materials or other materials commingled with manure or set aside for disposal</w:t>
      </w:r>
      <w:r>
        <w:t>.</w:t>
      </w:r>
    </w:p>
    <w:p w:rsidR="00A3412D" w:rsidRDefault="00A3412D" w:rsidP="00A3412D">
      <w:pPr>
        <w:spacing w:after="0" w:line="240" w:lineRule="auto"/>
        <w:ind w:left="540" w:hanging="180"/>
      </w:pPr>
      <w:r>
        <w:t>Rule 323.2104 (d) “Production area” means …… Also included …... and any area used in the storage, handling, treatment, or disposal of mortalities. (e) “Production area waste” means manure and any waste from the production area and any precipitation (e.g., rain or snow) which comes into contact with, or is contaminated by, manure or any of the components listed in the definition for “production area”. Production area waste does not include water from land application areas.</w:t>
      </w:r>
    </w:p>
    <w:p w:rsidR="00A3412D" w:rsidRPr="00A3412D" w:rsidRDefault="00A3412D" w:rsidP="002B7F0B">
      <w:pPr>
        <w:spacing w:before="240" w:after="240" w:line="240" w:lineRule="auto"/>
        <w:rPr>
          <w:b/>
          <w:sz w:val="24"/>
          <w:szCs w:val="24"/>
        </w:rPr>
      </w:pPr>
      <w:r w:rsidRPr="00A3412D">
        <w:rPr>
          <w:b/>
          <w:sz w:val="24"/>
          <w:szCs w:val="24"/>
        </w:rPr>
        <w:t>Implications</w:t>
      </w:r>
    </w:p>
    <w:p w:rsidR="00CD63A8" w:rsidRPr="00AE2461" w:rsidRDefault="00CD63A8" w:rsidP="00A3412D">
      <w:pPr>
        <w:spacing w:after="0" w:line="240" w:lineRule="auto"/>
      </w:pPr>
      <w:r w:rsidRPr="00AE2461">
        <w:t xml:space="preserve">BODA has historically been interpreted to mean that mortality from different farm sites with a common production system </w:t>
      </w:r>
      <w:r w:rsidR="002E716C" w:rsidRPr="00AE2461">
        <w:t xml:space="preserve">(production management and (or) ownership) </w:t>
      </w:r>
      <w:r w:rsidRPr="00AE2461">
        <w:t>may be moved to be composted at a common facility for that system.  The intent of the BODA law language was to allow for the economical, effective</w:t>
      </w:r>
      <w:r w:rsidR="00191ECA" w:rsidRPr="00AE2461">
        <w:t>, environmental</w:t>
      </w:r>
      <w:r w:rsidRPr="00AE2461">
        <w:t xml:space="preserve"> and safe management of a farming enterprise’s mortality, however, </w:t>
      </w:r>
      <w:r w:rsidR="00505080" w:rsidRPr="00AE2461">
        <w:t xml:space="preserve">state </w:t>
      </w:r>
      <w:r w:rsidR="00450C6B" w:rsidRPr="00AE2461">
        <w:t xml:space="preserve">CAFO </w:t>
      </w:r>
      <w:r w:rsidRPr="00AE2461">
        <w:t>environmental regulation</w:t>
      </w:r>
      <w:r w:rsidR="00450C6B" w:rsidRPr="00AE2461">
        <w:t>s</w:t>
      </w:r>
      <w:r w:rsidRPr="00AE2461">
        <w:t xml:space="preserve"> did not exist when BODA rules were first adopted in 1995 and </w:t>
      </w:r>
      <w:r w:rsidR="002E716C" w:rsidRPr="00AE2461">
        <w:t xml:space="preserve">connectivity to </w:t>
      </w:r>
      <w:r w:rsidR="00E36F3C" w:rsidRPr="00AE2461">
        <w:t xml:space="preserve">CAFO </w:t>
      </w:r>
      <w:r w:rsidRPr="00AE2461">
        <w:t xml:space="preserve">environmental regulations were not </w:t>
      </w:r>
      <w:r w:rsidR="002E716C" w:rsidRPr="00AE2461">
        <w:t xml:space="preserve">discerned </w:t>
      </w:r>
      <w:r w:rsidRPr="00AE2461">
        <w:t xml:space="preserve">when BODA rules were revised in 2007. </w:t>
      </w:r>
      <w:r w:rsidR="0087189E" w:rsidRPr="00AE2461">
        <w:t>State CAFO rules were adopted in 2005 and are based of the Federal 2003 CAFO rules.</w:t>
      </w:r>
    </w:p>
    <w:p w:rsidR="00A3412D" w:rsidRDefault="00A3412D" w:rsidP="00A3412D">
      <w:pPr>
        <w:spacing w:after="0" w:line="240" w:lineRule="auto"/>
      </w:pPr>
    </w:p>
    <w:p w:rsidR="00194F6A" w:rsidRPr="006571D2" w:rsidRDefault="00A3412D" w:rsidP="00A3412D">
      <w:pPr>
        <w:spacing w:after="0" w:line="240" w:lineRule="auto"/>
      </w:pPr>
      <w:r w:rsidRPr="006571D2">
        <w:t xml:space="preserve">NREPA </w:t>
      </w:r>
      <w:r w:rsidR="00CD63A8" w:rsidRPr="006571D2">
        <w:t xml:space="preserve">include </w:t>
      </w:r>
      <w:r w:rsidRPr="006571D2">
        <w:t>mortalities</w:t>
      </w:r>
      <w:r w:rsidR="005450B4" w:rsidRPr="006571D2">
        <w:t xml:space="preserve"> as production area waste</w:t>
      </w:r>
      <w:r w:rsidRPr="006571D2">
        <w:t xml:space="preserve">. The definition for production area includes mortality management facilities. </w:t>
      </w:r>
      <w:r w:rsidR="005450B4" w:rsidRPr="006571D2">
        <w:t>The definition of manure includes compost.  M</w:t>
      </w:r>
      <w:r w:rsidRPr="006571D2">
        <w:t xml:space="preserve">anure and any waste </w:t>
      </w:r>
      <w:r w:rsidRPr="006571D2">
        <w:lastRenderedPageBreak/>
        <w:t>from the production area (which would include mortalities)</w:t>
      </w:r>
      <w:r w:rsidR="005450B4" w:rsidRPr="006571D2">
        <w:t xml:space="preserve"> are defined as production area waste</w:t>
      </w:r>
      <w:r w:rsidRPr="006571D2">
        <w:t>. Therefore, mortalities are production area waste. Two or more AFOs under common ownership are considered combined</w:t>
      </w:r>
      <w:r w:rsidR="002D7D99" w:rsidRPr="006571D2">
        <w:t xml:space="preserve"> for purposes of determining number of animals</w:t>
      </w:r>
      <w:r w:rsidRPr="006571D2">
        <w:t xml:space="preserve"> if they use a common area or system for the disposal of wastes. Therefore, combining mortalities (production area waste) for storage, treatment, handling or disposal would combine AFOs </w:t>
      </w:r>
      <w:r w:rsidR="003244DB" w:rsidRPr="006571D2">
        <w:t xml:space="preserve">into one CAFO </w:t>
      </w:r>
      <w:r w:rsidRPr="006571D2">
        <w:t xml:space="preserve">that </w:t>
      </w:r>
      <w:r w:rsidR="003244DB" w:rsidRPr="006571D2">
        <w:t>is</w:t>
      </w:r>
      <w:r w:rsidRPr="006571D2">
        <w:t xml:space="preserve"> under common ownership.</w:t>
      </w:r>
    </w:p>
    <w:p w:rsidR="002B7F0B" w:rsidRPr="002B7F0B" w:rsidRDefault="002B7F0B" w:rsidP="002B7F0B">
      <w:pPr>
        <w:spacing w:before="240" w:after="240" w:line="240" w:lineRule="auto"/>
        <w:rPr>
          <w:b/>
          <w:sz w:val="24"/>
          <w:szCs w:val="24"/>
        </w:rPr>
      </w:pPr>
      <w:r w:rsidRPr="002B7F0B">
        <w:rPr>
          <w:b/>
          <w:sz w:val="24"/>
          <w:szCs w:val="24"/>
        </w:rPr>
        <w:t>Case E</w:t>
      </w:r>
      <w:r w:rsidR="00171147" w:rsidRPr="002B7F0B">
        <w:rPr>
          <w:b/>
          <w:sz w:val="24"/>
          <w:szCs w:val="24"/>
        </w:rPr>
        <w:t>xample</w:t>
      </w:r>
    </w:p>
    <w:p w:rsidR="00A35BB3" w:rsidRPr="003244DB" w:rsidRDefault="00171147" w:rsidP="00194F6A">
      <w:pPr>
        <w:spacing w:after="0" w:line="240" w:lineRule="auto"/>
      </w:pPr>
      <w:r w:rsidRPr="003244DB">
        <w:t>Michigan Example P</w:t>
      </w:r>
      <w:r w:rsidR="00A35BB3" w:rsidRPr="003244DB">
        <w:t xml:space="preserve">oultry </w:t>
      </w:r>
      <w:r w:rsidRPr="003244DB">
        <w:t>O</w:t>
      </w:r>
      <w:r w:rsidR="00A35BB3" w:rsidRPr="003244DB">
        <w:t xml:space="preserve">peration has </w:t>
      </w:r>
      <w:r w:rsidRPr="003244DB">
        <w:t>four</w:t>
      </w:r>
      <w:r w:rsidR="00A35BB3" w:rsidRPr="003244DB">
        <w:t xml:space="preserve"> farm site</w:t>
      </w:r>
      <w:r w:rsidRPr="003244DB">
        <w:t>s</w:t>
      </w:r>
      <w:r w:rsidR="006571D2">
        <w:t xml:space="preserve">. </w:t>
      </w:r>
      <w:r w:rsidR="00A35BB3" w:rsidRPr="003244DB">
        <w:t xml:space="preserve">The </w:t>
      </w:r>
      <w:r w:rsidRPr="003244DB">
        <w:t xml:space="preserve">farm </w:t>
      </w:r>
      <w:r w:rsidR="00A35BB3" w:rsidRPr="003244DB">
        <w:t xml:space="preserve">owner takes </w:t>
      </w:r>
      <w:r w:rsidRPr="003244DB">
        <w:t>their</w:t>
      </w:r>
      <w:r w:rsidR="00A35BB3" w:rsidRPr="003244DB">
        <w:t xml:space="preserve"> dead birds from </w:t>
      </w:r>
      <w:r w:rsidRPr="003244DB">
        <w:t xml:space="preserve">all </w:t>
      </w:r>
      <w:r w:rsidR="00A35BB3" w:rsidRPr="003244DB">
        <w:t>farm</w:t>
      </w:r>
      <w:r w:rsidRPr="003244DB">
        <w:t>s</w:t>
      </w:r>
      <w:r w:rsidR="002D7D99" w:rsidRPr="003244DB">
        <w:t xml:space="preserve"> and</w:t>
      </w:r>
      <w:r w:rsidRPr="003244DB">
        <w:t xml:space="preserve"> </w:t>
      </w:r>
      <w:r w:rsidR="00A35BB3" w:rsidRPr="003244DB">
        <w:t xml:space="preserve">puts them into </w:t>
      </w:r>
      <w:r w:rsidRPr="003244DB">
        <w:t xml:space="preserve">an In-vessel </w:t>
      </w:r>
      <w:r w:rsidR="00A35BB3" w:rsidRPr="003244DB">
        <w:t xml:space="preserve">mortality composting </w:t>
      </w:r>
      <w:r w:rsidRPr="003244DB">
        <w:t>unit</w:t>
      </w:r>
      <w:r w:rsidR="00A35BB3" w:rsidRPr="003244DB">
        <w:t xml:space="preserve"> at </w:t>
      </w:r>
      <w:r w:rsidRPr="003244DB">
        <w:t xml:space="preserve">one of the </w:t>
      </w:r>
      <w:r w:rsidR="002D7D99" w:rsidRPr="003244DB">
        <w:t>sites</w:t>
      </w:r>
      <w:r w:rsidRPr="003244DB">
        <w:t xml:space="preserve">. </w:t>
      </w:r>
      <w:r w:rsidR="00A35BB3" w:rsidRPr="003244DB">
        <w:t xml:space="preserve"> </w:t>
      </w:r>
      <w:r w:rsidRPr="003244DB">
        <w:t>Alone, t</w:t>
      </w:r>
      <w:r w:rsidR="00A35BB3" w:rsidRPr="003244DB">
        <w:t xml:space="preserve">his individual farm site </w:t>
      </w:r>
      <w:r w:rsidRPr="003244DB">
        <w:t xml:space="preserve">is not </w:t>
      </w:r>
      <w:r w:rsidR="00A35BB3" w:rsidRPr="003244DB">
        <w:t xml:space="preserve">a </w:t>
      </w:r>
      <w:r w:rsidRPr="003244DB">
        <w:t xml:space="preserve">large </w:t>
      </w:r>
      <w:r w:rsidR="00A35BB3" w:rsidRPr="003244DB">
        <w:t xml:space="preserve">CAFO and </w:t>
      </w:r>
      <w:r w:rsidRPr="003244DB">
        <w:t xml:space="preserve">it </w:t>
      </w:r>
      <w:r w:rsidR="00A35BB3" w:rsidRPr="003244DB">
        <w:t xml:space="preserve">has </w:t>
      </w:r>
      <w:r w:rsidRPr="003244DB">
        <w:t>its</w:t>
      </w:r>
      <w:r w:rsidR="00A35BB3" w:rsidRPr="003244DB">
        <w:t xml:space="preserve"> own land base for spreading</w:t>
      </w:r>
      <w:r w:rsidRPr="003244DB">
        <w:t xml:space="preserve"> all </w:t>
      </w:r>
      <w:r w:rsidR="006373A2" w:rsidRPr="003244DB">
        <w:t>its production area waste</w:t>
      </w:r>
      <w:r w:rsidR="003244DB" w:rsidRPr="003244DB">
        <w:t xml:space="preserve"> (manure and all mortality compost)</w:t>
      </w:r>
      <w:r w:rsidR="00A35BB3" w:rsidRPr="003244DB">
        <w:t>.</w:t>
      </w:r>
      <w:r w:rsidRPr="003244DB">
        <w:t xml:space="preserve"> However, since </w:t>
      </w:r>
      <w:r w:rsidR="00A35BB3" w:rsidRPr="003244DB">
        <w:t xml:space="preserve">dead birds </w:t>
      </w:r>
      <w:r w:rsidRPr="003244DB">
        <w:t xml:space="preserve">are </w:t>
      </w:r>
      <w:r w:rsidR="00A35BB3" w:rsidRPr="003244DB">
        <w:t>co-mingl</w:t>
      </w:r>
      <w:r w:rsidRPr="003244DB">
        <w:t>ed from all four farm</w:t>
      </w:r>
      <w:r w:rsidR="006373A2" w:rsidRPr="003244DB">
        <w:t xml:space="preserve"> site</w:t>
      </w:r>
      <w:r w:rsidRPr="003244DB">
        <w:t xml:space="preserve">s, the animal </w:t>
      </w:r>
      <w:r w:rsidR="006373A2" w:rsidRPr="003244DB">
        <w:t xml:space="preserve">numbers </w:t>
      </w:r>
      <w:r w:rsidR="0030005D" w:rsidRPr="003244DB">
        <w:t xml:space="preserve">are combined and in this case </w:t>
      </w:r>
      <w:r w:rsidRPr="003244DB">
        <w:t>do constitute a large CAFO,</w:t>
      </w:r>
      <w:r w:rsidR="00505080" w:rsidRPr="003244DB">
        <w:t xml:space="preserve"> as outlined in NREPA</w:t>
      </w:r>
      <w:r w:rsidR="0030005D" w:rsidRPr="003244DB">
        <w:t>.</w:t>
      </w:r>
      <w:r w:rsidR="003244DB" w:rsidRPr="003244DB">
        <w:t xml:space="preserve"> </w:t>
      </w:r>
      <w:r w:rsidR="0030005D" w:rsidRPr="003244DB">
        <w:t xml:space="preserve">This </w:t>
      </w:r>
      <w:r w:rsidR="00A35BB3" w:rsidRPr="003244DB">
        <w:t xml:space="preserve">would </w:t>
      </w:r>
      <w:r w:rsidRPr="003244DB">
        <w:t>require the entire operation</w:t>
      </w:r>
      <w:r w:rsidR="003244DB" w:rsidRPr="003244DB">
        <w:t xml:space="preserve"> (land base)</w:t>
      </w:r>
      <w:r w:rsidRPr="003244DB">
        <w:t xml:space="preserve"> of all four farm</w:t>
      </w:r>
      <w:r w:rsidR="003244DB" w:rsidRPr="003244DB">
        <w:t xml:space="preserve"> </w:t>
      </w:r>
      <w:r w:rsidRPr="003244DB">
        <w:t>s</w:t>
      </w:r>
      <w:r w:rsidR="003244DB" w:rsidRPr="003244DB">
        <w:t>ites</w:t>
      </w:r>
      <w:r w:rsidRPr="003244DB">
        <w:t xml:space="preserve"> t</w:t>
      </w:r>
      <w:r w:rsidR="00A35BB3" w:rsidRPr="003244DB">
        <w:t xml:space="preserve">o apply for a CAFO </w:t>
      </w:r>
      <w:r w:rsidRPr="003244DB">
        <w:t xml:space="preserve">NPDES </w:t>
      </w:r>
      <w:r w:rsidR="00A35BB3" w:rsidRPr="003244DB">
        <w:t>permit.</w:t>
      </w:r>
    </w:p>
    <w:p w:rsidR="008273D5" w:rsidRDefault="008273D5" w:rsidP="00194F6A">
      <w:pPr>
        <w:spacing w:after="0" w:line="240" w:lineRule="auto"/>
      </w:pPr>
    </w:p>
    <w:sectPr w:rsidR="008273D5" w:rsidSect="00FF19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E9" w:rsidRDefault="00BF3BE9" w:rsidP="0012130E">
      <w:pPr>
        <w:spacing w:after="0" w:line="240" w:lineRule="auto"/>
      </w:pPr>
      <w:r>
        <w:separator/>
      </w:r>
    </w:p>
  </w:endnote>
  <w:endnote w:type="continuationSeparator" w:id="0">
    <w:p w:rsidR="00BF3BE9" w:rsidRDefault="00BF3BE9" w:rsidP="0012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E9" w:rsidRDefault="00BF3BE9" w:rsidP="0012130E">
      <w:pPr>
        <w:spacing w:after="0" w:line="240" w:lineRule="auto"/>
      </w:pPr>
      <w:r>
        <w:separator/>
      </w:r>
    </w:p>
  </w:footnote>
  <w:footnote w:type="continuationSeparator" w:id="0">
    <w:p w:rsidR="00BF3BE9" w:rsidRDefault="00BF3BE9" w:rsidP="00121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0E" w:rsidRDefault="00121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B3"/>
    <w:rsid w:val="00077D72"/>
    <w:rsid w:val="0012130E"/>
    <w:rsid w:val="00171147"/>
    <w:rsid w:val="00191ECA"/>
    <w:rsid w:val="00194F6A"/>
    <w:rsid w:val="002B7F0B"/>
    <w:rsid w:val="002D7D99"/>
    <w:rsid w:val="002E716C"/>
    <w:rsid w:val="0030005D"/>
    <w:rsid w:val="00302457"/>
    <w:rsid w:val="003244DB"/>
    <w:rsid w:val="00450C6B"/>
    <w:rsid w:val="00461D5E"/>
    <w:rsid w:val="00505080"/>
    <w:rsid w:val="005450B4"/>
    <w:rsid w:val="0061114C"/>
    <w:rsid w:val="00622583"/>
    <w:rsid w:val="006373A2"/>
    <w:rsid w:val="006571D2"/>
    <w:rsid w:val="00660F71"/>
    <w:rsid w:val="006F25AF"/>
    <w:rsid w:val="0074689B"/>
    <w:rsid w:val="00755DC1"/>
    <w:rsid w:val="00786FB7"/>
    <w:rsid w:val="007D6499"/>
    <w:rsid w:val="008112B3"/>
    <w:rsid w:val="008273D5"/>
    <w:rsid w:val="00832180"/>
    <w:rsid w:val="0087189E"/>
    <w:rsid w:val="008D641C"/>
    <w:rsid w:val="009B13B7"/>
    <w:rsid w:val="009D261F"/>
    <w:rsid w:val="00A05838"/>
    <w:rsid w:val="00A3412D"/>
    <w:rsid w:val="00A35BB3"/>
    <w:rsid w:val="00AD6D0D"/>
    <w:rsid w:val="00AE2461"/>
    <w:rsid w:val="00B20695"/>
    <w:rsid w:val="00BA1B6B"/>
    <w:rsid w:val="00BF3BE9"/>
    <w:rsid w:val="00C31003"/>
    <w:rsid w:val="00CD63A8"/>
    <w:rsid w:val="00CE208F"/>
    <w:rsid w:val="00D06AFF"/>
    <w:rsid w:val="00D2254B"/>
    <w:rsid w:val="00D32D52"/>
    <w:rsid w:val="00D33503"/>
    <w:rsid w:val="00DE128A"/>
    <w:rsid w:val="00E248D1"/>
    <w:rsid w:val="00E36F3C"/>
    <w:rsid w:val="00F92F41"/>
    <w:rsid w:val="00FF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30E"/>
  </w:style>
  <w:style w:type="paragraph" w:styleId="Footer">
    <w:name w:val="footer"/>
    <w:basedOn w:val="Normal"/>
    <w:link w:val="FooterChar"/>
    <w:uiPriority w:val="99"/>
    <w:unhideWhenUsed/>
    <w:rsid w:val="0012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0E"/>
  </w:style>
  <w:style w:type="paragraph" w:styleId="BalloonText">
    <w:name w:val="Balloon Text"/>
    <w:basedOn w:val="Normal"/>
    <w:link w:val="BalloonTextChar"/>
    <w:uiPriority w:val="99"/>
    <w:semiHidden/>
    <w:unhideWhenUsed/>
    <w:rsid w:val="002E71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716C"/>
    <w:rPr>
      <w:rFonts w:ascii="Tahoma" w:hAnsi="Tahoma" w:cs="Tahoma"/>
      <w:sz w:val="16"/>
      <w:szCs w:val="16"/>
    </w:rPr>
  </w:style>
  <w:style w:type="character" w:styleId="CommentReference">
    <w:name w:val="annotation reference"/>
    <w:uiPriority w:val="99"/>
    <w:semiHidden/>
    <w:unhideWhenUsed/>
    <w:rsid w:val="008D641C"/>
    <w:rPr>
      <w:sz w:val="16"/>
      <w:szCs w:val="16"/>
    </w:rPr>
  </w:style>
  <w:style w:type="paragraph" w:styleId="CommentText">
    <w:name w:val="annotation text"/>
    <w:basedOn w:val="Normal"/>
    <w:link w:val="CommentTextChar"/>
    <w:uiPriority w:val="99"/>
    <w:semiHidden/>
    <w:unhideWhenUsed/>
    <w:rsid w:val="008D641C"/>
    <w:rPr>
      <w:sz w:val="20"/>
      <w:szCs w:val="20"/>
    </w:rPr>
  </w:style>
  <w:style w:type="character" w:customStyle="1" w:styleId="CommentTextChar">
    <w:name w:val="Comment Text Char"/>
    <w:basedOn w:val="DefaultParagraphFont"/>
    <w:link w:val="CommentText"/>
    <w:uiPriority w:val="99"/>
    <w:semiHidden/>
    <w:rsid w:val="008D641C"/>
  </w:style>
  <w:style w:type="paragraph" w:styleId="CommentSubject">
    <w:name w:val="annotation subject"/>
    <w:basedOn w:val="CommentText"/>
    <w:next w:val="CommentText"/>
    <w:link w:val="CommentSubjectChar"/>
    <w:uiPriority w:val="99"/>
    <w:semiHidden/>
    <w:unhideWhenUsed/>
    <w:rsid w:val="008D641C"/>
    <w:rPr>
      <w:b/>
      <w:bCs/>
    </w:rPr>
  </w:style>
  <w:style w:type="character" w:customStyle="1" w:styleId="CommentSubjectChar">
    <w:name w:val="Comment Subject Char"/>
    <w:link w:val="CommentSubject"/>
    <w:uiPriority w:val="99"/>
    <w:semiHidden/>
    <w:rsid w:val="008D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30E"/>
  </w:style>
  <w:style w:type="paragraph" w:styleId="Footer">
    <w:name w:val="footer"/>
    <w:basedOn w:val="Normal"/>
    <w:link w:val="FooterChar"/>
    <w:uiPriority w:val="99"/>
    <w:unhideWhenUsed/>
    <w:rsid w:val="0012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0E"/>
  </w:style>
  <w:style w:type="paragraph" w:styleId="BalloonText">
    <w:name w:val="Balloon Text"/>
    <w:basedOn w:val="Normal"/>
    <w:link w:val="BalloonTextChar"/>
    <w:uiPriority w:val="99"/>
    <w:semiHidden/>
    <w:unhideWhenUsed/>
    <w:rsid w:val="002E71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716C"/>
    <w:rPr>
      <w:rFonts w:ascii="Tahoma" w:hAnsi="Tahoma" w:cs="Tahoma"/>
      <w:sz w:val="16"/>
      <w:szCs w:val="16"/>
    </w:rPr>
  </w:style>
  <w:style w:type="character" w:styleId="CommentReference">
    <w:name w:val="annotation reference"/>
    <w:uiPriority w:val="99"/>
    <w:semiHidden/>
    <w:unhideWhenUsed/>
    <w:rsid w:val="008D641C"/>
    <w:rPr>
      <w:sz w:val="16"/>
      <w:szCs w:val="16"/>
    </w:rPr>
  </w:style>
  <w:style w:type="paragraph" w:styleId="CommentText">
    <w:name w:val="annotation text"/>
    <w:basedOn w:val="Normal"/>
    <w:link w:val="CommentTextChar"/>
    <w:uiPriority w:val="99"/>
    <w:semiHidden/>
    <w:unhideWhenUsed/>
    <w:rsid w:val="008D641C"/>
    <w:rPr>
      <w:sz w:val="20"/>
      <w:szCs w:val="20"/>
    </w:rPr>
  </w:style>
  <w:style w:type="character" w:customStyle="1" w:styleId="CommentTextChar">
    <w:name w:val="Comment Text Char"/>
    <w:basedOn w:val="DefaultParagraphFont"/>
    <w:link w:val="CommentText"/>
    <w:uiPriority w:val="99"/>
    <w:semiHidden/>
    <w:rsid w:val="008D641C"/>
  </w:style>
  <w:style w:type="paragraph" w:styleId="CommentSubject">
    <w:name w:val="annotation subject"/>
    <w:basedOn w:val="CommentText"/>
    <w:next w:val="CommentText"/>
    <w:link w:val="CommentSubjectChar"/>
    <w:uiPriority w:val="99"/>
    <w:semiHidden/>
    <w:unhideWhenUsed/>
    <w:rsid w:val="008D641C"/>
    <w:rPr>
      <w:b/>
      <w:bCs/>
    </w:rPr>
  </w:style>
  <w:style w:type="character" w:customStyle="1" w:styleId="CommentSubjectChar">
    <w:name w:val="Comment Subject Char"/>
    <w:link w:val="CommentSubject"/>
    <w:uiPriority w:val="99"/>
    <w:semiHidden/>
    <w:rsid w:val="008D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Rozeboom</dc:creator>
  <cp:lastModifiedBy>Rozeboom</cp:lastModifiedBy>
  <cp:revision>2</cp:revision>
  <cp:lastPrinted>2013-04-22T17:47:00Z</cp:lastPrinted>
  <dcterms:created xsi:type="dcterms:W3CDTF">2013-04-23T12:08:00Z</dcterms:created>
  <dcterms:modified xsi:type="dcterms:W3CDTF">2013-04-23T12:08:00Z</dcterms:modified>
</cp:coreProperties>
</file>