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622408992"/>
        <w:docPartObj>
          <w:docPartGallery w:val="Cover Pages"/>
          <w:docPartUnique/>
        </w:docPartObj>
      </w:sdtPr>
      <w:sdtEndPr/>
      <w:sdtContent>
        <w:tbl>
          <w:tblPr>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1770"/>
            <w:gridCol w:w="191"/>
            <w:gridCol w:w="8349"/>
          </w:tblGrid>
          <w:tr w:rsidR="00030562" w:rsidTr="00BD31E5">
            <w:trPr>
              <w:trHeight w:val="3960"/>
              <w:jc w:val="center"/>
            </w:trPr>
            <w:tc>
              <w:tcPr>
                <w:tcW w:w="825" w:type="pct"/>
                <w:tcBorders>
                  <w:top w:val="nil"/>
                  <w:left w:val="nil"/>
                  <w:bottom w:val="nil"/>
                  <w:right w:val="nil"/>
                </w:tcBorders>
                <w:shd w:val="clear" w:color="auto" w:fill="auto"/>
              </w:tcPr>
              <w:p w:rsidR="00030562" w:rsidRDefault="00B4411E">
                <w:pPr>
                  <w:pStyle w:val="NoSpacing"/>
                </w:pPr>
                <w:r w:rsidRPr="0051021D">
                  <w:rPr>
                    <w:noProof/>
                    <w:sz w:val="32"/>
                    <w:szCs w:val="32"/>
                    <w:lang w:eastAsia="en-US"/>
                  </w:rPr>
                  <w:drawing>
                    <wp:anchor distT="0" distB="0" distL="114300" distR="114300" simplePos="0" relativeHeight="251659264" behindDoc="1" locked="0" layoutInCell="1" allowOverlap="1" wp14:anchorId="779B0649" wp14:editId="114D1369">
                      <wp:simplePos x="0" y="0"/>
                      <wp:positionH relativeFrom="column">
                        <wp:posOffset>-69215</wp:posOffset>
                      </wp:positionH>
                      <wp:positionV relativeFrom="paragraph">
                        <wp:posOffset>725170</wp:posOffset>
                      </wp:positionV>
                      <wp:extent cx="977900" cy="544830"/>
                      <wp:effectExtent l="0" t="0" r="0" b="7620"/>
                      <wp:wrapTight wrapText="bothSides">
                        <wp:wrapPolygon edited="0">
                          <wp:start x="0" y="0"/>
                          <wp:lineTo x="0" y="18126"/>
                          <wp:lineTo x="1683" y="21147"/>
                          <wp:lineTo x="21039" y="21147"/>
                          <wp:lineTo x="21039" y="3021"/>
                          <wp:lineTo x="19777" y="0"/>
                          <wp:lineTo x="0" y="0"/>
                        </wp:wrapPolygon>
                      </wp:wrapTight>
                      <wp:docPr id="4" name="Picture 1" descr="Z:\images\iw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mages\iwrlogo.gif"/>
                              <pic:cNvPicPr>
                                <a:picLocks noChangeAspect="1" noChangeArrowheads="1" noCrop="1"/>
                              </pic:cNvPicPr>
                            </pic:nvPicPr>
                            <pic:blipFill>
                              <a:blip r:embed="rId11"/>
                              <a:srcRect/>
                              <a:stretch>
                                <a:fillRect/>
                              </a:stretch>
                            </pic:blipFill>
                            <pic:spPr bwMode="auto">
                              <a:xfrm>
                                <a:off x="0" y="0"/>
                                <a:ext cx="977900" cy="5448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175" w:type="pct"/>
                <w:gridSpan w:val="2"/>
                <w:tcBorders>
                  <w:top w:val="nil"/>
                  <w:left w:val="nil"/>
                  <w:bottom w:val="nil"/>
                  <w:right w:val="nil"/>
                </w:tcBorders>
                <w:shd w:val="clear" w:color="auto" w:fill="auto"/>
                <w:tcMar>
                  <w:left w:w="115" w:type="dxa"/>
                  <w:bottom w:w="115" w:type="dxa"/>
                </w:tcMar>
                <w:vAlign w:val="bottom"/>
              </w:tcPr>
              <w:p w:rsidR="00030562" w:rsidRDefault="00020135" w:rsidP="00BD31E5">
                <w:pPr>
                  <w:pStyle w:val="NoSpacing"/>
                  <w:rPr>
                    <w:rFonts w:asciiTheme="majorHAnsi" w:eastAsiaTheme="majorEastAsia" w:hAnsiTheme="majorHAnsi" w:cstheme="majorBidi"/>
                    <w:color w:val="242852" w:themeColor="text2"/>
                    <w:sz w:val="120"/>
                    <w:szCs w:val="120"/>
                  </w:rPr>
                </w:pPr>
                <w:sdt>
                  <w:sdtPr>
                    <w:rPr>
                      <w:rFonts w:asciiTheme="majorHAnsi" w:eastAsiaTheme="majorEastAsia" w:hAnsiTheme="majorHAnsi" w:cstheme="majorBidi"/>
                      <w:caps/>
                      <w:color w:val="242852" w:themeColor="text2"/>
                      <w:sz w:val="96"/>
                      <w:szCs w:val="110"/>
                    </w:rPr>
                    <w:alias w:val="Title"/>
                    <w:id w:val="541102321"/>
                    <w:placeholder>
                      <w:docPart w:val="F06913D290354EE8AF532E12D55F1794"/>
                    </w:placeholder>
                    <w:dataBinding w:prefixMappings="xmlns:ns0='http://schemas.openxmlformats.org/package/2006/metadata/core-properties' xmlns:ns1='http://purl.org/dc/elements/1.1/'" w:xpath="/ns0:coreProperties[1]/ns1:title[1]" w:storeItemID="{6C3C8BC8-F283-45AE-878A-BAB7291924A1}"/>
                    <w:text/>
                  </w:sdtPr>
                  <w:sdtEndPr/>
                  <w:sdtContent>
                    <w:r w:rsidR="003B0F27">
                      <w:rPr>
                        <w:rFonts w:asciiTheme="majorHAnsi" w:eastAsiaTheme="majorEastAsia" w:hAnsiTheme="majorHAnsi" w:cstheme="majorBidi"/>
                        <w:caps/>
                        <w:color w:val="242852" w:themeColor="text2"/>
                        <w:sz w:val="96"/>
                        <w:szCs w:val="110"/>
                      </w:rPr>
                      <w:t>Simulated Effects of Tile Drains on Recharge</w:t>
                    </w:r>
                  </w:sdtContent>
                </w:sdt>
              </w:p>
            </w:tc>
          </w:tr>
          <w:tr w:rsidR="00030562" w:rsidTr="00BD31E5">
            <w:trPr>
              <w:jc w:val="center"/>
            </w:trPr>
            <w:tc>
              <w:tcPr>
                <w:tcW w:w="825" w:type="pct"/>
                <w:tcBorders>
                  <w:top w:val="nil"/>
                  <w:left w:val="nil"/>
                  <w:bottom w:val="nil"/>
                  <w:right w:val="nil"/>
                </w:tcBorders>
                <w:shd w:val="clear" w:color="auto" w:fill="auto"/>
              </w:tcPr>
              <w:p w:rsidR="00030562" w:rsidRDefault="00030562">
                <w:pPr>
                  <w:pStyle w:val="NoSpacing"/>
                  <w:rPr>
                    <w:color w:val="ACCBF9" w:themeColor="background2"/>
                  </w:rPr>
                </w:pPr>
              </w:p>
            </w:tc>
            <w:tc>
              <w:tcPr>
                <w:tcW w:w="4175" w:type="pct"/>
                <w:gridSpan w:val="2"/>
                <w:tcBorders>
                  <w:top w:val="nil"/>
                  <w:left w:val="nil"/>
                  <w:bottom w:val="nil"/>
                  <w:right w:val="nil"/>
                </w:tcBorders>
                <w:shd w:val="clear" w:color="auto" w:fill="auto"/>
                <w:tcMar>
                  <w:left w:w="72" w:type="dxa"/>
                  <w:bottom w:w="216" w:type="dxa"/>
                  <w:right w:w="0" w:type="dxa"/>
                </w:tcMar>
                <w:vAlign w:val="bottom"/>
              </w:tcPr>
              <w:p w:rsidR="00030562" w:rsidRDefault="007C3F48">
                <w:r>
                  <w:rPr>
                    <w:noProof/>
                    <w:lang w:eastAsia="en-US"/>
                  </w:rPr>
                  <w:drawing>
                    <wp:inline distT="0" distB="0" distL="0" distR="0" wp14:anchorId="54EE6468" wp14:editId="588ECBA3">
                      <wp:extent cx="4795283" cy="3598595"/>
                      <wp:effectExtent l="0" t="0" r="5715" b="1905"/>
                      <wp:docPr id="2" name="Picture 2" descr="http://blog.nature.org/science/files/2013/10/tile-drain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log.nature.org/science/files/2013/10/tile-drainag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5499" cy="3598757"/>
                              </a:xfrm>
                              <a:prstGeom prst="rect">
                                <a:avLst/>
                              </a:prstGeom>
                              <a:noFill/>
                              <a:ln>
                                <a:noFill/>
                              </a:ln>
                            </pic:spPr>
                          </pic:pic>
                        </a:graphicData>
                      </a:graphic>
                    </wp:inline>
                  </w:drawing>
                </w:r>
              </w:p>
            </w:tc>
          </w:tr>
          <w:tr w:rsidR="00030562" w:rsidTr="00BD31E5">
            <w:trPr>
              <w:trHeight w:val="864"/>
              <w:jc w:val="center"/>
            </w:trPr>
            <w:tc>
              <w:tcPr>
                <w:tcW w:w="929" w:type="pct"/>
                <w:gridSpan w:val="2"/>
                <w:tcBorders>
                  <w:top w:val="nil"/>
                  <w:left w:val="nil"/>
                  <w:bottom w:val="nil"/>
                </w:tcBorders>
                <w:shd w:val="clear" w:color="auto" w:fill="297FD5" w:themeFill="accent2"/>
                <w:vAlign w:val="center"/>
              </w:tcPr>
              <w:p w:rsidR="00030562" w:rsidRPr="00BD31E5" w:rsidRDefault="00020135">
                <w:pPr>
                  <w:pStyle w:val="NoSpacing"/>
                  <w:jc w:val="center"/>
                  <w:rPr>
                    <w:color w:val="FFFFFF" w:themeColor="background1"/>
                    <w:sz w:val="32"/>
                    <w:szCs w:val="32"/>
                  </w:rPr>
                </w:pPr>
                <w:sdt>
                  <w:sdtPr>
                    <w:rPr>
                      <w:color w:val="FFFFFF" w:themeColor="background1"/>
                      <w:sz w:val="32"/>
                      <w:szCs w:val="32"/>
                    </w:rPr>
                    <w:alias w:val="Date"/>
                    <w:id w:val="541102334"/>
                    <w:placeholder>
                      <w:docPart w:val="65E474D9666141A1AE318EE43E05DDC3"/>
                    </w:placeholder>
                    <w:dataBinding w:prefixMappings="xmlns:ns0='http://schemas.microsoft.com/office/2006/coverPageProps'" w:xpath="/ns0:CoverPageProperties[1]/ns0:PublishDate[1]" w:storeItemID="{55AF091B-3C7A-41E3-B477-F2FDAA23CFDA}"/>
                    <w:date w:fullDate="2016-06-30T00:00:00Z">
                      <w:dateFormat w:val="M/d/yyyy"/>
                      <w:lid w:val="en-US"/>
                      <w:storeMappedDataAs w:val="dateTime"/>
                      <w:calendar w:val="gregorian"/>
                    </w:date>
                  </w:sdtPr>
                  <w:sdtEndPr/>
                  <w:sdtContent>
                    <w:r w:rsidR="00BD31E5" w:rsidRPr="00BD31E5">
                      <w:rPr>
                        <w:color w:val="FFFFFF" w:themeColor="background1"/>
                        <w:sz w:val="32"/>
                        <w:szCs w:val="32"/>
                      </w:rPr>
                      <w:t>6/30/2016</w:t>
                    </w:r>
                  </w:sdtContent>
                </w:sdt>
              </w:p>
            </w:tc>
            <w:tc>
              <w:tcPr>
                <w:tcW w:w="4071" w:type="pct"/>
                <w:tcBorders>
                  <w:top w:val="nil"/>
                  <w:bottom w:val="nil"/>
                  <w:right w:val="nil"/>
                </w:tcBorders>
                <w:shd w:val="clear" w:color="auto" w:fill="629DD1" w:themeFill="accent1"/>
                <w:tcMar>
                  <w:left w:w="216" w:type="dxa"/>
                </w:tcMar>
                <w:vAlign w:val="center"/>
              </w:tcPr>
              <w:p w:rsidR="00030562" w:rsidRDefault="00020135" w:rsidP="00BD31E5">
                <w:pPr>
                  <w:pStyle w:val="NoSpacing"/>
                  <w:rPr>
                    <w:color w:val="FFFFFF" w:themeColor="background1"/>
                    <w:sz w:val="40"/>
                    <w:szCs w:val="40"/>
                  </w:rPr>
                </w:pPr>
                <w:sdt>
                  <w:sdtPr>
                    <w:rPr>
                      <w:color w:val="FFFFFF" w:themeColor="background1"/>
                      <w:sz w:val="40"/>
                      <w:szCs w:val="40"/>
                    </w:rPr>
                    <w:alias w:val="Subtitle"/>
                    <w:id w:val="541102329"/>
                    <w:placeholder>
                      <w:docPart w:val="CE0D2AC05AA742EFBDBC05A326A1A166"/>
                    </w:placeholder>
                    <w:dataBinding w:prefixMappings="xmlns:ns0='http://schemas.openxmlformats.org/package/2006/metadata/core-properties' xmlns:ns1='http://purl.org/dc/elements/1.1/'" w:xpath="/ns0:coreProperties[1]/ns1:subject[1]" w:storeItemID="{6C3C8BC8-F283-45AE-878A-BAB7291924A1}"/>
                    <w:text/>
                  </w:sdtPr>
                  <w:sdtEndPr/>
                  <w:sdtContent>
                    <w:r w:rsidR="00BD31E5">
                      <w:rPr>
                        <w:color w:val="FFFFFF" w:themeColor="background1"/>
                        <w:sz w:val="40"/>
                        <w:szCs w:val="40"/>
                      </w:rPr>
                      <w:t>Modeling impacts in the Saginaw Bay Watershed</w:t>
                    </w:r>
                  </w:sdtContent>
                </w:sdt>
              </w:p>
            </w:tc>
          </w:tr>
          <w:tr w:rsidR="00030562" w:rsidTr="00BD31E5">
            <w:trPr>
              <w:jc w:val="center"/>
            </w:trPr>
            <w:tc>
              <w:tcPr>
                <w:tcW w:w="825" w:type="pct"/>
                <w:tcBorders>
                  <w:top w:val="nil"/>
                  <w:left w:val="nil"/>
                  <w:bottom w:val="nil"/>
                  <w:right w:val="nil"/>
                </w:tcBorders>
                <w:shd w:val="clear" w:color="auto" w:fill="auto"/>
                <w:vAlign w:val="center"/>
              </w:tcPr>
              <w:p w:rsidR="00030562" w:rsidRDefault="00030562">
                <w:pPr>
                  <w:pStyle w:val="NoSpacing"/>
                  <w:rPr>
                    <w:color w:val="FFFFFF" w:themeColor="background1"/>
                    <w:sz w:val="36"/>
                    <w:szCs w:val="36"/>
                  </w:rPr>
                </w:pPr>
              </w:p>
            </w:tc>
            <w:tc>
              <w:tcPr>
                <w:tcW w:w="4175" w:type="pct"/>
                <w:gridSpan w:val="2"/>
                <w:tcBorders>
                  <w:top w:val="nil"/>
                  <w:left w:val="nil"/>
                  <w:bottom w:val="nil"/>
                  <w:right w:val="nil"/>
                </w:tcBorders>
                <w:shd w:val="clear" w:color="auto" w:fill="auto"/>
                <w:tcMar>
                  <w:top w:w="432" w:type="dxa"/>
                  <w:left w:w="216" w:type="dxa"/>
                  <w:right w:w="432" w:type="dxa"/>
                </w:tcMar>
              </w:tcPr>
              <w:p w:rsidR="00030562" w:rsidRDefault="00AE39DA" w:rsidP="00D47A4C">
                <w:pPr>
                  <w:pStyle w:val="NoSpacing"/>
                  <w:spacing w:line="360" w:lineRule="auto"/>
                  <w:rPr>
                    <w:rFonts w:asciiTheme="majorHAnsi" w:eastAsiaTheme="majorEastAsia" w:hAnsiTheme="majorHAnsi" w:cstheme="majorBidi"/>
                    <w:i/>
                    <w:iCs/>
                    <w:color w:val="242852" w:themeColor="text2"/>
                    <w:sz w:val="26"/>
                    <w:szCs w:val="26"/>
                  </w:rPr>
                </w:pPr>
                <w:r>
                  <w:rPr>
                    <w:rFonts w:asciiTheme="majorHAnsi" w:eastAsiaTheme="majorEastAsia" w:hAnsiTheme="majorHAnsi" w:cstheme="majorBidi"/>
                    <w:sz w:val="26"/>
                    <w:szCs w:val="26"/>
                  </w:rPr>
                  <w:t xml:space="preserve">This report discusses </w:t>
                </w:r>
                <w:r w:rsidRPr="00AE39DA">
                  <w:rPr>
                    <w:rFonts w:asciiTheme="majorHAnsi" w:eastAsiaTheme="majorEastAsia" w:hAnsiTheme="majorHAnsi" w:cstheme="majorBidi"/>
                    <w:sz w:val="26"/>
                    <w:szCs w:val="26"/>
                  </w:rPr>
                  <w:t xml:space="preserve">the </w:t>
                </w:r>
                <w:r>
                  <w:rPr>
                    <w:rFonts w:asciiTheme="majorHAnsi" w:eastAsiaTheme="majorEastAsia" w:hAnsiTheme="majorHAnsi" w:cstheme="majorBidi"/>
                    <w:sz w:val="26"/>
                    <w:szCs w:val="26"/>
                  </w:rPr>
                  <w:t xml:space="preserve">results of the </w:t>
                </w:r>
                <w:r w:rsidR="00971D4E">
                  <w:rPr>
                    <w:rFonts w:asciiTheme="majorHAnsi" w:eastAsiaTheme="majorEastAsia" w:hAnsiTheme="majorHAnsi" w:cstheme="majorBidi"/>
                    <w:sz w:val="26"/>
                    <w:szCs w:val="26"/>
                  </w:rPr>
                  <w:t>hydrologic</w:t>
                </w:r>
                <w:r w:rsidR="00D47A4C">
                  <w:rPr>
                    <w:rFonts w:asciiTheme="majorHAnsi" w:eastAsiaTheme="majorEastAsia" w:hAnsiTheme="majorHAnsi" w:cstheme="majorBidi"/>
                    <w:sz w:val="26"/>
                    <w:szCs w:val="26"/>
                  </w:rPr>
                  <w:t xml:space="preserve"> model HYDRUS</w:t>
                </w:r>
                <w:r>
                  <w:rPr>
                    <w:rFonts w:asciiTheme="majorHAnsi" w:eastAsiaTheme="majorEastAsia" w:hAnsiTheme="majorHAnsi" w:cstheme="majorBidi"/>
                    <w:sz w:val="26"/>
                    <w:szCs w:val="26"/>
                  </w:rPr>
                  <w:t xml:space="preserve"> </w:t>
                </w:r>
                <w:r w:rsidRPr="00AE39DA">
                  <w:rPr>
                    <w:rFonts w:asciiTheme="majorHAnsi" w:eastAsiaTheme="majorEastAsia" w:hAnsiTheme="majorHAnsi" w:cstheme="majorBidi"/>
                    <w:sz w:val="26"/>
                    <w:szCs w:val="26"/>
                  </w:rPr>
                  <w:t>utilized to simulate the impact of agricultural tile drainage on rates of groundwater recharge in the Saginaw Bay Basin</w:t>
                </w:r>
                <w:r>
                  <w:rPr>
                    <w:rFonts w:asciiTheme="majorHAnsi" w:eastAsiaTheme="majorEastAsia" w:hAnsiTheme="majorHAnsi" w:cstheme="majorBidi"/>
                    <w:sz w:val="26"/>
                    <w:szCs w:val="26"/>
                  </w:rPr>
                  <w:t xml:space="preserve">. </w:t>
                </w:r>
                <w:r w:rsidR="00D47A4C" w:rsidRPr="00D47A4C">
                  <w:rPr>
                    <w:rFonts w:asciiTheme="majorHAnsi" w:eastAsiaTheme="majorEastAsia" w:hAnsiTheme="majorHAnsi" w:cstheme="majorBidi"/>
                    <w:sz w:val="26"/>
                    <w:szCs w:val="26"/>
                  </w:rPr>
                  <w:t>These impacts were incorporated into previous efforts to model groundwater recharge with the Soil and Water Assessment Tool (SWAT), and made available through the online</w:t>
                </w:r>
                <w:r w:rsidR="00D47A4C">
                  <w:rPr>
                    <w:rFonts w:asciiTheme="majorHAnsi" w:eastAsiaTheme="majorEastAsia" w:hAnsiTheme="majorHAnsi" w:cstheme="majorBidi"/>
                    <w:sz w:val="26"/>
                    <w:szCs w:val="26"/>
                  </w:rPr>
                  <w:t xml:space="preserve"> GLWMS.</w:t>
                </w:r>
              </w:p>
            </w:tc>
          </w:tr>
        </w:tbl>
        <w:p w:rsidR="00030562" w:rsidRDefault="00020135">
          <w:pPr>
            <w:spacing w:after="200" w:line="276" w:lineRule="auto"/>
          </w:pPr>
        </w:p>
      </w:sdtContent>
    </w:sdt>
    <w:p w:rsidR="00030562" w:rsidRDefault="00020135">
      <w:pPr>
        <w:pStyle w:val="Title"/>
      </w:pPr>
      <w:sdt>
        <w:sdtPr>
          <w:alias w:val="Title"/>
          <w:id w:val="-1055697181"/>
          <w:placeholder>
            <w:docPart w:val="AAEBFE8F2E34401AB7F63FFABFB23951"/>
          </w:placeholder>
          <w:dataBinding w:prefixMappings="xmlns:ns0='http://schemas.openxmlformats.org/package/2006/metadata/core-properties' xmlns:ns1='http://purl.org/dc/elements/1.1/'" w:xpath="/ns0:coreProperties[1]/ns1:title[1]" w:storeItemID="{6C3C8BC8-F283-45AE-878A-BAB7291924A1}"/>
          <w:text/>
        </w:sdtPr>
        <w:sdtEndPr/>
        <w:sdtContent>
          <w:r w:rsidR="003B0F27">
            <w:t>Simulated Effects of Tile Drains on Recharge</w:t>
          </w:r>
        </w:sdtContent>
      </w:sdt>
    </w:p>
    <w:p w:rsidR="00030562" w:rsidRDefault="00030562">
      <w:pPr>
        <w:pStyle w:val="Title"/>
        <w:rPr>
          <w:rFonts w:asciiTheme="majorHAnsi" w:eastAsiaTheme="majorEastAsia" w:hAnsiTheme="majorHAnsi" w:cstheme="majorBidi"/>
          <w:b/>
          <w:bCs/>
          <w:caps/>
          <w:color w:val="297FD5" w:themeColor="accent2"/>
          <w:spacing w:val="50"/>
          <w:sz w:val="24"/>
          <w:szCs w:val="22"/>
        </w:rPr>
      </w:pPr>
    </w:p>
    <w:sdt>
      <w:sdtPr>
        <w:id w:val="219697527"/>
        <w:placeholder>
          <w:docPart w:val="AC6C7A98B05F422AB7ED818A0AAAB938"/>
        </w:placeholder>
        <w:dataBinding w:prefixMappings="xmlns:ns0='http://schemas.openxmlformats.org/package/2006/metadata/core-properties' xmlns:ns1='http://purl.org/dc/elements/1.1/'" w:xpath="/ns0:coreProperties[1]/ns1:subject[1]" w:storeItemID="{6C3C8BC8-F283-45AE-878A-BAB7291924A1}"/>
        <w:text/>
      </w:sdtPr>
      <w:sdtEndPr/>
      <w:sdtContent>
        <w:p w:rsidR="00030562" w:rsidRDefault="00BD31E5">
          <w:pPr>
            <w:pStyle w:val="Subtitle"/>
          </w:pPr>
          <w:r>
            <w:t>Modeling impacts in the Saginaw Bay Watershed</w:t>
          </w:r>
        </w:p>
      </w:sdtContent>
    </w:sdt>
    <w:p w:rsidR="00030562" w:rsidRDefault="00BD1593" w:rsidP="00BD1593">
      <w:pPr>
        <w:pStyle w:val="Heading1"/>
      </w:pPr>
      <w:r>
        <w:t>Overview</w:t>
      </w:r>
    </w:p>
    <w:p w:rsidR="00BD1593" w:rsidRDefault="00BD1593" w:rsidP="00BD1593">
      <w:pPr>
        <w:spacing w:after="0" w:line="360" w:lineRule="auto"/>
      </w:pPr>
      <w:r w:rsidRPr="00515EB1">
        <w:t xml:space="preserve">The Great Lakes Watershed Management System (GLWMS) utilizes the Soil and Water Assessment Tool (SWAT) to predict change in groundwater recharge via land cover or conservation practice changes on a field scale basis in the Saginaw Bay Watershed (SBW). </w:t>
      </w:r>
      <w:r>
        <w:t>SWAT uses a simplified process-based approach with lumped-parameters to simulate water fluxes to tile drainage and recharge to groundwater. Values of the lumped parameters are generally unknown and are difficult to estimate accurately due to natural vertical stratification of soil layers and high spatial variability in soil properties.  Inaccurate values of the lumped parameters commonly result in poor prediction of drainage and groundwater recharge fluxes.</w:t>
      </w:r>
      <w:r w:rsidR="00D47A4C" w:rsidRPr="00D47A4C">
        <w:t xml:space="preserve"> SWAT requires users to define an impervious sub-surface layer below the tile in order for water to pond in the soil profile, reach the tile, and then discharge to the stream network.  This design effectively eliminates recharge to the shallow aquifer, which is an unlikely outcome.</w:t>
      </w:r>
      <w:r>
        <w:t xml:space="preserve"> D</w:t>
      </w:r>
      <w:r w:rsidRPr="00515EB1">
        <w:t xml:space="preserve">ue </w:t>
      </w:r>
      <w:r>
        <w:t>to the extent of tile drainage on agricultural lands</w:t>
      </w:r>
      <w:r w:rsidRPr="00515EB1">
        <w:t xml:space="preserve"> </w:t>
      </w:r>
      <w:r>
        <w:t xml:space="preserve">in the </w:t>
      </w:r>
      <w:r w:rsidRPr="00515EB1">
        <w:t xml:space="preserve">SBW </w:t>
      </w:r>
      <w:r>
        <w:t xml:space="preserve">and those </w:t>
      </w:r>
      <w:r w:rsidRPr="00515EB1">
        <w:t>tile</w:t>
      </w:r>
      <w:r>
        <w:t>s having</w:t>
      </w:r>
      <w:r w:rsidRPr="00515EB1">
        <w:t xml:space="preserve"> significant impact on recharge, </w:t>
      </w:r>
      <w:r>
        <w:t xml:space="preserve">a physically based modeling approach with distributed parameters should be used to </w:t>
      </w:r>
      <w:r w:rsidRPr="00515EB1">
        <w:t>estimate recharge in tile drained fields.</w:t>
      </w:r>
      <w:r>
        <w:t xml:space="preserve"> HYDRUS, which uses a physically-based modeling approach with </w:t>
      </w:r>
      <w:r w:rsidRPr="00270B73">
        <w:t>distributed parameter</w:t>
      </w:r>
      <w:r>
        <w:t>s, describes more accurately water fluxes in partly saturated heterogeneous soils and accounts for the spatial variability of soil properties.</w:t>
      </w:r>
    </w:p>
    <w:p w:rsidR="00BD1593" w:rsidRPr="00515EB1" w:rsidRDefault="00BD1593" w:rsidP="00BD1593">
      <w:pPr>
        <w:spacing w:after="0" w:line="360" w:lineRule="auto"/>
      </w:pPr>
    </w:p>
    <w:p w:rsidR="00BD1593" w:rsidRDefault="00BD1593" w:rsidP="00BD1593">
      <w:pPr>
        <w:spacing w:after="0" w:line="360" w:lineRule="auto"/>
      </w:pPr>
      <w:r w:rsidRPr="00515EB1">
        <w:t xml:space="preserve">The Institute of Water Research </w:t>
      </w:r>
      <w:r>
        <w:t>has integrated</w:t>
      </w:r>
      <w:r w:rsidRPr="00515EB1">
        <w:t xml:space="preserve"> SWAT and HYDRUS to model the impacts of tile drainage on recharge. Outputs from the existing SWAT model produced for the SBW </w:t>
      </w:r>
      <w:r>
        <w:t>were</w:t>
      </w:r>
      <w:r w:rsidRPr="00515EB1">
        <w:t xml:space="preserve"> used as inputs for </w:t>
      </w:r>
      <w:r>
        <w:t xml:space="preserve">the </w:t>
      </w:r>
      <w:r w:rsidRPr="00515EB1">
        <w:t xml:space="preserve">HYDRUS model. Numerous simulations </w:t>
      </w:r>
      <w:r>
        <w:t>were</w:t>
      </w:r>
      <w:r w:rsidRPr="00515EB1">
        <w:t xml:space="preserve"> run using HYDRUS to produce tabular outputs of recharge impacts under a variety of scenarios. </w:t>
      </w:r>
      <w:r>
        <w:t xml:space="preserve">The HYDRUS model outputs were used to calibrate and validate </w:t>
      </w:r>
      <w:r w:rsidRPr="00515EB1">
        <w:t>a Neural Network</w:t>
      </w:r>
      <w:r>
        <w:t xml:space="preserve">, which were coupled with the SWAT model to correct SWAT computed values of recharge for all rainfall events, and </w:t>
      </w:r>
      <w:proofErr w:type="gramStart"/>
      <w:r>
        <w:t>evaluate</w:t>
      </w:r>
      <w:proofErr w:type="gramEnd"/>
      <w:r>
        <w:t xml:space="preserve"> accurately percent changes of recharge on tiled vs non tiled fields. These percent changes were applied to outputs from the SWAT model in the GLWMS. </w:t>
      </w:r>
      <w:r w:rsidRPr="00515EB1">
        <w:t xml:space="preserve">Users interested in recharge on the GLWMS will apply a conservation practice or cover type change on a parcel of land and indicate via a check box whether the parcel of land is tile drained.  The GLWMS will then collect site specific information such as soils, slope, conservation practices/cover types, etc. in real time and pass those inputs to a look-up </w:t>
      </w:r>
      <w:r w:rsidRPr="00515EB1">
        <w:lastRenderedPageBreak/>
        <w:t xml:space="preserve">table of </w:t>
      </w:r>
      <w:r>
        <w:t>SWAT</w:t>
      </w:r>
      <w:r w:rsidRPr="00515EB1">
        <w:t xml:space="preserve"> simulation outputs. The look-up table will provide estimates of recharge changes based on tile drainage under the indicated conditions</w:t>
      </w:r>
      <w:r>
        <w:t xml:space="preserve"> and correlated HYDRUS results</w:t>
      </w:r>
      <w:r w:rsidRPr="00515EB1">
        <w:t>.</w:t>
      </w:r>
    </w:p>
    <w:p w:rsidR="00033333" w:rsidRDefault="00033333" w:rsidP="00BD1593">
      <w:pPr>
        <w:spacing w:after="0" w:line="360" w:lineRule="auto"/>
      </w:pPr>
    </w:p>
    <w:p w:rsidR="00033333" w:rsidRDefault="00D47A4C" w:rsidP="00033333">
      <w:pPr>
        <w:pStyle w:val="Heading1"/>
      </w:pPr>
      <w:r>
        <w:t>HYDRUS 3D Description</w:t>
      </w:r>
    </w:p>
    <w:p w:rsidR="00033333" w:rsidRDefault="00033333" w:rsidP="00033333">
      <w:pPr>
        <w:spacing w:after="0" w:line="360" w:lineRule="auto"/>
      </w:pPr>
      <w:proofErr w:type="gramStart"/>
      <w:r>
        <w:t>HYDRUS,</w:t>
      </w:r>
      <w:proofErr w:type="gramEnd"/>
      <w:r>
        <w:t xml:space="preserve"> is a general software package for simulating water, heat, and solute movement in two- and three- dimensional variably saturated media. The software package consists of the computation computer program, and the interactive graphics-based user interface. The HYDRUS program numerically solves the Richards equation for saturated-unsaturated water flow and the convection-dispersion equation for heat and solute transport. The flow equation incorporates a sink term to account for water uptake by plant roots. The heat transport equation considers transport due to conduction and convection with flowing water. </w:t>
      </w:r>
    </w:p>
    <w:p w:rsidR="00033333" w:rsidRDefault="00033333" w:rsidP="00033333">
      <w:pPr>
        <w:spacing w:after="0" w:line="360" w:lineRule="auto"/>
      </w:pPr>
    </w:p>
    <w:p w:rsidR="00033333" w:rsidRDefault="00033333" w:rsidP="00033333">
      <w:pPr>
        <w:spacing w:after="0" w:line="360" w:lineRule="auto"/>
      </w:pPr>
      <w:r>
        <w:t xml:space="preserve">The solute transport equations consider convective-dispersive transport in the liquid phase, as well as diffusion in the gaseous phase. The transport equations also include provisions for nonlinear </w:t>
      </w:r>
      <w:proofErr w:type="spellStart"/>
      <w:r>
        <w:t>nonequilibrium</w:t>
      </w:r>
      <w:proofErr w:type="spellEnd"/>
      <w:r>
        <w:t xml:space="preserve"> reactions between the solid and liquid phases, linear equilibrium reactions between the liquid and gaseous phases, zero-order production, and two first-order degradation reactions: one which is independent of other solutes, and one which provides the coupling between solutes involved in sequential first-order decay reactions. In addition, physical </w:t>
      </w:r>
      <w:proofErr w:type="spellStart"/>
      <w:r>
        <w:t>nonequilibrium</w:t>
      </w:r>
      <w:proofErr w:type="spellEnd"/>
      <w:r>
        <w:t xml:space="preserve"> solute transport can be accounted for by assuming a two-region, dual-porosity type formulation which partitions the liquid phase into mobile and immobile regions. Attachment/detachment theory, including the filtration theory, is included to simulate transport of viruses, colloids, and/or bacteria. </w:t>
      </w:r>
    </w:p>
    <w:p w:rsidR="00033333" w:rsidRDefault="00033333" w:rsidP="00033333">
      <w:pPr>
        <w:spacing w:after="0" w:line="360" w:lineRule="auto"/>
      </w:pPr>
    </w:p>
    <w:p w:rsidR="00033333" w:rsidRDefault="00033333" w:rsidP="00033333">
      <w:pPr>
        <w:spacing w:after="0" w:line="360" w:lineRule="auto"/>
      </w:pPr>
      <w:r>
        <w:t xml:space="preserve">The program may be used to analyze water and solute movement in unsaturated, partially saturated, or fully saturated porous media. HYDRUS can handle flow regions delineated by irregular boundaries. The flow region itself may be composed of </w:t>
      </w:r>
      <w:proofErr w:type="spellStart"/>
      <w:r>
        <w:t>nonuniform</w:t>
      </w:r>
      <w:proofErr w:type="spellEnd"/>
      <w:r>
        <w:t xml:space="preserve"> soils having an arbitrary degree of local anisotropy. Flow and transport can occur in the vertical plane, the horizontal plane, a three-dimensional region exhibiting radial symmetry about the vertical axis, or fully three-dimensional domain. The water flow part of the model can deal with prescribed head and flux boundaries, boundaries controlled by atmospheric conditions, free drainage boundary conditions, as well as a simplified representation of nodal drains using results of electric analog experiments. The two-dimensional part of this program also includes a Marquardt-</w:t>
      </w:r>
      <w:proofErr w:type="spellStart"/>
      <w:r>
        <w:t>Levenberg</w:t>
      </w:r>
      <w:proofErr w:type="spellEnd"/>
      <w:r>
        <w:t xml:space="preserve"> type parameter optimization algorithm for inverse estimation of soil hydraulic and/or solute transport and reaction parameters from measured transient or steady-state flow and/or transport data for two dimensional problems. </w:t>
      </w:r>
    </w:p>
    <w:p w:rsidR="00033333" w:rsidRDefault="00033333" w:rsidP="00033333">
      <w:pPr>
        <w:spacing w:after="0" w:line="360" w:lineRule="auto"/>
      </w:pPr>
    </w:p>
    <w:p w:rsidR="00033333" w:rsidRDefault="00033333" w:rsidP="00033333">
      <w:pPr>
        <w:spacing w:after="0" w:line="360" w:lineRule="auto"/>
      </w:pPr>
      <w:r>
        <w:lastRenderedPageBreak/>
        <w:t xml:space="preserve">Groundwater recharge from agricultural fields can be modeled using the HYDRUS-3D software. To do that, a project that includes material distribution and boundary conditions for each area of concern (e.g. fields with tile drainage) should be generated based on DEM, land use, and soil map used in the SWAT project. </w:t>
      </w:r>
      <w:r w:rsidRPr="00033333">
        <w:rPr>
          <w:rStyle w:val="Heading3Char"/>
        </w:rPr>
        <w:t>HYDRUS-based modeling includes the following steps:</w:t>
      </w:r>
    </w:p>
    <w:p w:rsidR="00033333" w:rsidRDefault="00033333" w:rsidP="00033333">
      <w:pPr>
        <w:spacing w:after="0" w:line="360" w:lineRule="auto"/>
      </w:pPr>
      <w:r>
        <w:t>1.</w:t>
      </w:r>
      <w:r>
        <w:tab/>
        <w:t>Generating simulation mesh</w:t>
      </w:r>
    </w:p>
    <w:p w:rsidR="00033333" w:rsidRDefault="00033333" w:rsidP="00033333">
      <w:pPr>
        <w:spacing w:after="0" w:line="360" w:lineRule="auto"/>
      </w:pPr>
      <w:r>
        <w:t>2.</w:t>
      </w:r>
      <w:r>
        <w:tab/>
        <w:t>Estimating the soil hydraulic properties</w:t>
      </w:r>
    </w:p>
    <w:p w:rsidR="00033333" w:rsidRDefault="00033333" w:rsidP="00033333">
      <w:pPr>
        <w:spacing w:after="0" w:line="360" w:lineRule="auto"/>
      </w:pPr>
      <w:r>
        <w:t>3.</w:t>
      </w:r>
      <w:r>
        <w:tab/>
        <w:t>Setting the initial and boundary conditions</w:t>
      </w:r>
    </w:p>
    <w:p w:rsidR="00033333" w:rsidRDefault="00033333" w:rsidP="00033333">
      <w:pPr>
        <w:spacing w:after="0" w:line="360" w:lineRule="auto"/>
      </w:pPr>
      <w:r>
        <w:t>4.</w:t>
      </w:r>
      <w:r>
        <w:tab/>
        <w:t>Model run</w:t>
      </w:r>
    </w:p>
    <w:p w:rsidR="00033333" w:rsidRDefault="00033333" w:rsidP="00033333">
      <w:pPr>
        <w:spacing w:after="0" w:line="360" w:lineRule="auto"/>
      </w:pPr>
      <w:r>
        <w:t>5.</w:t>
      </w:r>
      <w:r>
        <w:tab/>
        <w:t>Result analysis</w:t>
      </w:r>
    </w:p>
    <w:p w:rsidR="00033333" w:rsidRDefault="00033333" w:rsidP="00033333">
      <w:pPr>
        <w:spacing w:after="0" w:line="360" w:lineRule="auto"/>
      </w:pPr>
    </w:p>
    <w:p w:rsidR="00033333" w:rsidRDefault="00D47A4C" w:rsidP="00033333">
      <w:pPr>
        <w:pStyle w:val="Heading1"/>
      </w:pPr>
      <w:r>
        <w:t>Methods and Results</w:t>
      </w:r>
    </w:p>
    <w:p w:rsidR="0048399F" w:rsidRDefault="00033333" w:rsidP="0048399F">
      <w:pPr>
        <w:spacing w:after="0" w:line="360" w:lineRule="auto"/>
      </w:pPr>
      <w:r>
        <w:t>Since it is impractical to couple HYDRUS with SWAT model, HYDRUS was used as a standalone module to generate drainage and recharge fluxes on event base for multiple soil, crop, slope, weather and drain</w:t>
      </w:r>
      <w:r w:rsidR="002A6DEC">
        <w:t>age scenarios as shown in Fig. 1</w:t>
      </w:r>
      <w:r>
        <w:t xml:space="preserve">. </w:t>
      </w:r>
      <w:r w:rsidR="0048399F">
        <w:t>The modeling results combined with input data were used to calibrate and validate a Neural Network (</w:t>
      </w:r>
      <w:proofErr w:type="spellStart"/>
      <w:r w:rsidR="0048399F">
        <w:t>Matlab</w:t>
      </w:r>
      <w:proofErr w:type="spellEnd"/>
      <w:r w:rsidR="0048399F">
        <w:t xml:space="preserve"> Neural Network Toolbox). Compiled </w:t>
      </w:r>
      <w:proofErr w:type="spellStart"/>
      <w:r w:rsidR="0048399F">
        <w:t>Matlab</w:t>
      </w:r>
      <w:proofErr w:type="spellEnd"/>
      <w:r w:rsidR="0048399F">
        <w:t xml:space="preserve"> code was integrated into the SWAT-based framework to estimate recharge and drainage fluxes based on area selected in the SWAT project model for specific rainfall events and water contents in soil profiles.</w:t>
      </w:r>
    </w:p>
    <w:p w:rsidR="0048399F" w:rsidRDefault="0048399F" w:rsidP="00033333">
      <w:pPr>
        <w:spacing w:after="0" w:line="360" w:lineRule="auto"/>
      </w:pPr>
    </w:p>
    <w:p w:rsidR="00033333" w:rsidRDefault="0048399F" w:rsidP="00033333">
      <w:pPr>
        <w:spacing w:after="0" w:line="360" w:lineRule="auto"/>
      </w:pPr>
      <w:r w:rsidRPr="0048399F">
        <w:t>To facilitate integration with SWAT, each HYDRUS model was set up using the same land cover dataset (USDA Cropland Data Layer) and soils layer (USDA SSURGO) as the original SWAT recharge models.  For each 8-digit watershed, a HYDRUS model in which all agricultural fields were tile drained was generated, and another was generated in which those fields were not tiled.  For each model, annual recharge between 2001 and 2010 was averaged by a combination of land cover class and hydrologic soil group (e.g. corn on soils in the B hydrologic group).  For each unique combination within a model, a percentage reduction in recharge under a tiled condition was calculated (e.g. [</w:t>
      </w:r>
      <w:proofErr w:type="spellStart"/>
      <w:r w:rsidRPr="0048399F">
        <w:t>RechargeCorn</w:t>
      </w:r>
      <w:proofErr w:type="spellEnd"/>
      <w:r w:rsidRPr="0048399F">
        <w:t xml:space="preserve">-B-Untiled – </w:t>
      </w:r>
      <w:proofErr w:type="spellStart"/>
      <w:r w:rsidRPr="0048399F">
        <w:t>RechargeCorn</w:t>
      </w:r>
      <w:proofErr w:type="spellEnd"/>
      <w:r w:rsidRPr="0048399F">
        <w:t xml:space="preserve">-B-Tiled] / </w:t>
      </w:r>
      <w:proofErr w:type="spellStart"/>
      <w:r w:rsidRPr="0048399F">
        <w:t>RechargeCorn</w:t>
      </w:r>
      <w:proofErr w:type="spellEnd"/>
      <w:r w:rsidRPr="0048399F">
        <w:t>-B-Untiled * 100), and stored in the GLWMS database.</w:t>
      </w:r>
      <w:r>
        <w:t xml:space="preserve"> </w:t>
      </w:r>
      <w:r w:rsidR="00033333">
        <w:t xml:space="preserve">Multiple rainfall scenarios </w:t>
      </w:r>
      <w:r w:rsidR="00530236">
        <w:t>were</w:t>
      </w:r>
      <w:r w:rsidR="00033333">
        <w:t xml:space="preserve"> run in the batch mode for the same simulation mesh and soil/crop properties to generate recharge and drainage fluxes for specific rainfall events with different initial water contents in soil profiles.   </w:t>
      </w:r>
    </w:p>
    <w:p w:rsidR="0048399F" w:rsidRDefault="0048399F" w:rsidP="00033333">
      <w:pPr>
        <w:spacing w:after="0" w:line="360" w:lineRule="auto"/>
      </w:pPr>
    </w:p>
    <w:p w:rsidR="00530236" w:rsidRDefault="00CC1D25" w:rsidP="00530236">
      <w:pPr>
        <w:keepNext/>
        <w:spacing w:after="0" w:line="360" w:lineRule="auto"/>
      </w:pPr>
      <w:r>
        <w:rPr>
          <w:noProof/>
          <w:lang w:eastAsia="en-US"/>
        </w:rPr>
        <w:lastRenderedPageBreak/>
        <mc:AlternateContent>
          <mc:Choice Requires="wps">
            <w:drawing>
              <wp:anchor distT="0" distB="0" distL="114300" distR="114300" simplePos="0" relativeHeight="251660288" behindDoc="0" locked="0" layoutInCell="1" allowOverlap="1">
                <wp:simplePos x="0" y="0"/>
                <wp:positionH relativeFrom="column">
                  <wp:posOffset>1174898</wp:posOffset>
                </wp:positionH>
                <wp:positionV relativeFrom="paragraph">
                  <wp:posOffset>196702</wp:posOffset>
                </wp:positionV>
                <wp:extent cx="2137144" cy="818707"/>
                <wp:effectExtent l="0" t="0" r="73025" b="114935"/>
                <wp:wrapNone/>
                <wp:docPr id="8" name="Elbow Connector 8"/>
                <wp:cNvGraphicFramePr/>
                <a:graphic xmlns:a="http://schemas.openxmlformats.org/drawingml/2006/main">
                  <a:graphicData uri="http://schemas.microsoft.com/office/word/2010/wordprocessingShape">
                    <wps:wsp>
                      <wps:cNvCnPr/>
                      <wps:spPr>
                        <a:xfrm>
                          <a:off x="0" y="0"/>
                          <a:ext cx="2137144" cy="818707"/>
                        </a:xfrm>
                        <a:prstGeom prst="bentConnector3">
                          <a:avLst>
                            <a:gd name="adj1" fmla="val 31086"/>
                          </a:avLst>
                        </a:prstGeom>
                        <a:ln w="25400">
                          <a:solidFill>
                            <a:srgbClr val="92D05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26" type="#_x0000_t34" style="position:absolute;margin-left:92.5pt;margin-top:15.5pt;width:168.3pt;height:64.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" adj="6715" strokecolor="#92d050" strokeweight="2pt">
                <v:stroke endarrow="open"/>
              </v:shape>
            </w:pict>
          </mc:Fallback>
        </mc:AlternateContent>
      </w:r>
      <w:r w:rsidR="00530236" w:rsidRPr="00D2026D">
        <w:rPr>
          <w:noProof/>
          <w:lang w:eastAsia="en-US"/>
        </w:rPr>
        <w:drawing>
          <wp:inline distT="0" distB="0" distL="0" distR="0" wp14:anchorId="7EE45B37" wp14:editId="198C5A99">
            <wp:extent cx="6443331" cy="314732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464915" cy="3157864"/>
                    </a:xfrm>
                    <a:prstGeom prst="rect">
                      <a:avLst/>
                    </a:prstGeom>
                    <a:noFill/>
                    <a:ln w="9525">
                      <a:noFill/>
                      <a:miter lim="800000"/>
                      <a:headEnd/>
                      <a:tailEnd/>
                    </a:ln>
                  </pic:spPr>
                </pic:pic>
              </a:graphicData>
            </a:graphic>
          </wp:inline>
        </w:drawing>
      </w:r>
    </w:p>
    <w:p w:rsidR="00033333" w:rsidRDefault="00530236" w:rsidP="00530236">
      <w:pPr>
        <w:pStyle w:val="Caption"/>
        <w:ind w:left="1440" w:firstLine="720"/>
      </w:pPr>
      <w:r>
        <w:t xml:space="preserve">Figure </w:t>
      </w:r>
      <w:r>
        <w:fldChar w:fldCharType="begin"/>
      </w:r>
      <w:r>
        <w:instrText xml:space="preserve"> SEQ Figure \* ARABIC </w:instrText>
      </w:r>
      <w:r>
        <w:fldChar w:fldCharType="separate"/>
      </w:r>
      <w:r w:rsidR="004A058B">
        <w:rPr>
          <w:noProof/>
        </w:rPr>
        <w:t>1</w:t>
      </w:r>
      <w:r>
        <w:fldChar w:fldCharType="end"/>
      </w:r>
      <w:r>
        <w:t>- Integrating HYDrus into swat-based watershed modeling framework</w:t>
      </w:r>
    </w:p>
    <w:p w:rsidR="00033333" w:rsidRPr="00515EB1" w:rsidRDefault="00033333" w:rsidP="00BD1593">
      <w:pPr>
        <w:spacing w:after="0" w:line="360" w:lineRule="auto"/>
      </w:pPr>
    </w:p>
    <w:p w:rsidR="0048399F" w:rsidRDefault="0048399F" w:rsidP="0048399F"/>
    <w:p w:rsidR="0048399F" w:rsidRDefault="0048399F" w:rsidP="0048399F">
      <w:r>
        <w:t xml:space="preserve">Percentage reductions varied between watersheds, mainly due to the spatial variability of soil classes.   Table 1 lists the reductions averaged by hydrologic soil group across the watersheds. </w:t>
      </w:r>
    </w:p>
    <w:p w:rsidR="0048399F" w:rsidRDefault="0048399F" w:rsidP="0048399F">
      <w:r>
        <w:tab/>
      </w:r>
    </w:p>
    <w:tbl>
      <w:tblPr>
        <w:tblStyle w:val="LightGrid-Accent4"/>
        <w:tblW w:w="0" w:type="auto"/>
        <w:tblLook w:val="04A0" w:firstRow="1" w:lastRow="0" w:firstColumn="1" w:lastColumn="0" w:noHBand="0" w:noVBand="1"/>
      </w:tblPr>
      <w:tblGrid>
        <w:gridCol w:w="5148"/>
        <w:gridCol w:w="5148"/>
      </w:tblGrid>
      <w:tr w:rsidR="008F404D" w:rsidTr="008F40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rsidR="008F404D" w:rsidRDefault="008F404D" w:rsidP="008F404D">
            <w:pPr>
              <w:pStyle w:val="Heading4"/>
              <w:outlineLvl w:val="3"/>
            </w:pPr>
            <w:r>
              <w:t>Hydrologic Soil Group</w:t>
            </w:r>
          </w:p>
        </w:tc>
        <w:tc>
          <w:tcPr>
            <w:tcW w:w="5148" w:type="dxa"/>
          </w:tcPr>
          <w:p w:rsidR="008F404D" w:rsidRDefault="008F404D" w:rsidP="008F404D">
            <w:pPr>
              <w:pStyle w:val="Heading4"/>
              <w:outlineLvl w:val="3"/>
              <w:cnfStyle w:val="100000000000" w:firstRow="1" w:lastRow="0" w:firstColumn="0" w:lastColumn="0" w:oddVBand="0" w:evenVBand="0" w:oddHBand="0" w:evenHBand="0" w:firstRowFirstColumn="0" w:firstRowLastColumn="0" w:lastRowFirstColumn="0" w:lastRowLastColumn="0"/>
            </w:pPr>
            <w:r>
              <w:t>Percentage Reduction in Recharge with Tile Drainage</w:t>
            </w:r>
          </w:p>
        </w:tc>
      </w:tr>
      <w:tr w:rsidR="0048399F" w:rsidTr="008F40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rsidR="0048399F" w:rsidRDefault="008F404D" w:rsidP="0048399F">
            <w:r>
              <w:t>A</w:t>
            </w:r>
          </w:p>
        </w:tc>
        <w:tc>
          <w:tcPr>
            <w:tcW w:w="5148" w:type="dxa"/>
          </w:tcPr>
          <w:p w:rsidR="0048399F" w:rsidRDefault="008F404D" w:rsidP="0048399F">
            <w:pPr>
              <w:cnfStyle w:val="000000100000" w:firstRow="0" w:lastRow="0" w:firstColumn="0" w:lastColumn="0" w:oddVBand="0" w:evenVBand="0" w:oddHBand="1" w:evenHBand="0" w:firstRowFirstColumn="0" w:firstRowLastColumn="0" w:lastRowFirstColumn="0" w:lastRowLastColumn="0"/>
            </w:pPr>
            <w:r>
              <w:t>20.6</w:t>
            </w:r>
          </w:p>
        </w:tc>
      </w:tr>
      <w:tr w:rsidR="0048399F" w:rsidTr="008F40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rsidR="0048399F" w:rsidRDefault="008F404D" w:rsidP="0048399F">
            <w:r>
              <w:t>B</w:t>
            </w:r>
          </w:p>
        </w:tc>
        <w:tc>
          <w:tcPr>
            <w:tcW w:w="5148" w:type="dxa"/>
          </w:tcPr>
          <w:p w:rsidR="0048399F" w:rsidRDefault="008F404D" w:rsidP="0048399F">
            <w:pPr>
              <w:cnfStyle w:val="000000010000" w:firstRow="0" w:lastRow="0" w:firstColumn="0" w:lastColumn="0" w:oddVBand="0" w:evenVBand="0" w:oddHBand="0" w:evenHBand="1" w:firstRowFirstColumn="0" w:firstRowLastColumn="0" w:lastRowFirstColumn="0" w:lastRowLastColumn="0"/>
            </w:pPr>
            <w:r>
              <w:t>21.4</w:t>
            </w:r>
          </w:p>
        </w:tc>
      </w:tr>
      <w:tr w:rsidR="0048399F" w:rsidTr="008F40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rsidR="0048399F" w:rsidRDefault="008F404D" w:rsidP="0048399F">
            <w:r>
              <w:t>C</w:t>
            </w:r>
          </w:p>
        </w:tc>
        <w:tc>
          <w:tcPr>
            <w:tcW w:w="5148" w:type="dxa"/>
          </w:tcPr>
          <w:p w:rsidR="0048399F" w:rsidRDefault="008F404D" w:rsidP="0048399F">
            <w:pPr>
              <w:cnfStyle w:val="000000100000" w:firstRow="0" w:lastRow="0" w:firstColumn="0" w:lastColumn="0" w:oddVBand="0" w:evenVBand="0" w:oddHBand="1" w:evenHBand="0" w:firstRowFirstColumn="0" w:firstRowLastColumn="0" w:lastRowFirstColumn="0" w:lastRowLastColumn="0"/>
            </w:pPr>
            <w:r>
              <w:t>21.8</w:t>
            </w:r>
          </w:p>
        </w:tc>
      </w:tr>
      <w:tr w:rsidR="0048399F" w:rsidTr="008F40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rsidR="0048399F" w:rsidRDefault="008F404D" w:rsidP="0048399F">
            <w:r>
              <w:t>D</w:t>
            </w:r>
          </w:p>
        </w:tc>
        <w:tc>
          <w:tcPr>
            <w:tcW w:w="5148" w:type="dxa"/>
          </w:tcPr>
          <w:p w:rsidR="0048399F" w:rsidRDefault="008F404D" w:rsidP="008F404D">
            <w:pPr>
              <w:keepNext/>
              <w:cnfStyle w:val="000000010000" w:firstRow="0" w:lastRow="0" w:firstColumn="0" w:lastColumn="0" w:oddVBand="0" w:evenVBand="0" w:oddHBand="0" w:evenHBand="1" w:firstRowFirstColumn="0" w:firstRowLastColumn="0" w:lastRowFirstColumn="0" w:lastRowLastColumn="0"/>
            </w:pPr>
            <w:r>
              <w:t>9.6</w:t>
            </w:r>
          </w:p>
        </w:tc>
      </w:tr>
    </w:tbl>
    <w:p w:rsidR="005B1C49" w:rsidRDefault="005B1C49" w:rsidP="008F404D">
      <w:pPr>
        <w:pStyle w:val="Caption"/>
      </w:pPr>
    </w:p>
    <w:p w:rsidR="0048399F" w:rsidRDefault="008F404D" w:rsidP="008F404D">
      <w:pPr>
        <w:pStyle w:val="Caption"/>
      </w:pPr>
      <w:r>
        <w:t xml:space="preserve">Table </w:t>
      </w:r>
      <w:r>
        <w:fldChar w:fldCharType="begin"/>
      </w:r>
      <w:r>
        <w:instrText xml:space="preserve"> SEQ Table \* ARABIC </w:instrText>
      </w:r>
      <w:r>
        <w:fldChar w:fldCharType="separate"/>
      </w:r>
      <w:r w:rsidR="004A058B">
        <w:rPr>
          <w:noProof/>
        </w:rPr>
        <w:t>1</w:t>
      </w:r>
      <w:r>
        <w:fldChar w:fldCharType="end"/>
      </w:r>
      <w:r>
        <w:t xml:space="preserve"> - </w:t>
      </w:r>
      <w:r w:rsidRPr="00383B05">
        <w:t>Reductions in recharge by hydrologic soil group, averaged across the 8-digit watersheds of Saginaw Bay Basin.</w:t>
      </w:r>
    </w:p>
    <w:p w:rsidR="0048399F" w:rsidRDefault="0048399F" w:rsidP="0048399F"/>
    <w:p w:rsidR="0048399F" w:rsidRDefault="0048399F" w:rsidP="008F404D">
      <w:pPr>
        <w:pStyle w:val="Heading2"/>
      </w:pPr>
      <w:r>
        <w:t>Integration into GLWMS</w:t>
      </w:r>
    </w:p>
    <w:p w:rsidR="00BD1593" w:rsidRDefault="0048399F" w:rsidP="0048399F">
      <w:r>
        <w:t>An option to simulate tile drainage was then added to the GLWMS’ field-scale re</w:t>
      </w:r>
      <w:r w:rsidR="002A6DEC">
        <w:t>charge analysis window (Figure 2</w:t>
      </w:r>
      <w:r>
        <w:t xml:space="preserve">).  Selecting this option prior to running a recharge scenario instructs the system to analyze the digitized field for unique combinations of land cover, hydrologic soil group, and slope, then retrieve the recharge rates for each combination as originally modeled by SWAT; those rates are then adjusted </w:t>
      </w:r>
      <w:r>
        <w:lastRenderedPageBreak/>
        <w:t xml:space="preserve">downward for agricultural areas based upon the unique combinations of land cover and hydrologic soil group (without considering slope) by the tile reduction percentage modeled by HYDRUS.  Figures </w:t>
      </w:r>
      <w:r w:rsidR="002A6DEC">
        <w:t>3</w:t>
      </w:r>
      <w:r>
        <w:t xml:space="preserve"> and </w:t>
      </w:r>
      <w:r w:rsidR="002A6DEC">
        <w:t>4</w:t>
      </w:r>
      <w:r>
        <w:t xml:space="preserve"> illustrate the effect of tile drainage on recharge in an example GLWMS scenario.  In Figure </w:t>
      </w:r>
      <w:r w:rsidR="002A6DEC">
        <w:t>3</w:t>
      </w:r>
      <w:r>
        <w:t xml:space="preserve">, results for a field conversion from conventionally tilled corn to no-till with a winter wheat cover crop, without tile drainage, project an increase in annual recharge of 0.82 inches.  Figure </w:t>
      </w:r>
      <w:r w:rsidR="002A6DEC">
        <w:t>4</w:t>
      </w:r>
      <w:r>
        <w:t xml:space="preserve"> reflects the same scenario, but with tile drainage included.  The projected increase is 0.72 inches, a decrease of 12%.</w:t>
      </w:r>
    </w:p>
    <w:p w:rsidR="008F404D" w:rsidRDefault="008F404D" w:rsidP="0048399F"/>
    <w:p w:rsidR="008F404D" w:rsidRDefault="008F404D" w:rsidP="008F404D">
      <w:pPr>
        <w:keepNext/>
      </w:pPr>
      <w:r>
        <w:rPr>
          <w:noProof/>
          <w:lang w:eastAsia="en-US"/>
        </w:rPr>
        <w:drawing>
          <wp:inline distT="0" distB="0" distL="0" distR="0" wp14:anchorId="2B1B9781" wp14:editId="5C90026F">
            <wp:extent cx="6390168" cy="3965944"/>
            <wp:effectExtent l="0" t="0" r="0" b="0"/>
            <wp:docPr id="1" name="Picture 0" descr="recharge_tile1.jpg"/>
            <wp:cNvGraphicFramePr/>
            <a:graphic xmlns:a="http://schemas.openxmlformats.org/drawingml/2006/main">
              <a:graphicData uri="http://schemas.openxmlformats.org/drawingml/2006/picture">
                <pic:pic xmlns:pic="http://schemas.openxmlformats.org/drawingml/2006/picture">
                  <pic:nvPicPr>
                    <pic:cNvPr id="1" name="Picture 0" descr="recharge_tile1.jpg"/>
                    <pic:cNvPicPr/>
                  </pic:nvPicPr>
                  <pic:blipFill>
                    <a:blip r:embed="rId14" cstate="print"/>
                    <a:stretch>
                      <a:fillRect/>
                    </a:stretch>
                  </pic:blipFill>
                  <pic:spPr>
                    <a:xfrm>
                      <a:off x="0" y="0"/>
                      <a:ext cx="6393254" cy="3967859"/>
                    </a:xfrm>
                    <a:prstGeom prst="rect">
                      <a:avLst/>
                    </a:prstGeom>
                  </pic:spPr>
                </pic:pic>
              </a:graphicData>
            </a:graphic>
          </wp:inline>
        </w:drawing>
      </w:r>
    </w:p>
    <w:p w:rsidR="008F404D" w:rsidRDefault="008F404D" w:rsidP="008F404D">
      <w:pPr>
        <w:pStyle w:val="Caption"/>
        <w:ind w:left="2880" w:firstLine="720"/>
      </w:pPr>
      <w:r>
        <w:t xml:space="preserve">Figure </w:t>
      </w:r>
      <w:r>
        <w:fldChar w:fldCharType="begin"/>
      </w:r>
      <w:r>
        <w:instrText xml:space="preserve"> SEQ Figure \* ARABIC </w:instrText>
      </w:r>
      <w:r>
        <w:fldChar w:fldCharType="separate"/>
      </w:r>
      <w:r w:rsidR="004A058B">
        <w:rPr>
          <w:noProof/>
        </w:rPr>
        <w:t>2</w:t>
      </w:r>
      <w:r>
        <w:fldChar w:fldCharType="end"/>
      </w:r>
      <w:r>
        <w:t xml:space="preserve"> - </w:t>
      </w:r>
      <w:r w:rsidRPr="00F941E5">
        <w:t>Tile</w:t>
      </w:r>
      <w:r>
        <w:t xml:space="preserve"> drainage option added to GLWMS</w:t>
      </w:r>
    </w:p>
    <w:p w:rsidR="008F404D" w:rsidRDefault="008F404D" w:rsidP="008F404D"/>
    <w:p w:rsidR="008F404D" w:rsidRDefault="008F404D" w:rsidP="008F404D">
      <w:pPr>
        <w:keepNext/>
      </w:pPr>
      <w:r>
        <w:rPr>
          <w:noProof/>
          <w:lang w:eastAsia="en-US"/>
        </w:rPr>
        <w:lastRenderedPageBreak/>
        <w:drawing>
          <wp:inline distT="0" distB="0" distL="0" distR="0" wp14:anchorId="7808EC5E" wp14:editId="0960C039">
            <wp:extent cx="6517758" cy="3487479"/>
            <wp:effectExtent l="0" t="0" r="0" b="0"/>
            <wp:docPr id="6" name="Picture 1" descr="recharge_tile2.jpg"/>
            <wp:cNvGraphicFramePr/>
            <a:graphic xmlns:a="http://schemas.openxmlformats.org/drawingml/2006/main">
              <a:graphicData uri="http://schemas.openxmlformats.org/drawingml/2006/picture">
                <pic:pic xmlns:pic="http://schemas.openxmlformats.org/drawingml/2006/picture">
                  <pic:nvPicPr>
                    <pic:cNvPr id="2" name="Picture 1" descr="recharge_tile2.jpg"/>
                    <pic:cNvPicPr/>
                  </pic:nvPicPr>
                  <pic:blipFill>
                    <a:blip r:embed="rId15" cstate="print"/>
                    <a:stretch>
                      <a:fillRect/>
                    </a:stretch>
                  </pic:blipFill>
                  <pic:spPr>
                    <a:xfrm>
                      <a:off x="0" y="0"/>
                      <a:ext cx="6540761" cy="3499787"/>
                    </a:xfrm>
                    <a:prstGeom prst="rect">
                      <a:avLst/>
                    </a:prstGeom>
                  </pic:spPr>
                </pic:pic>
              </a:graphicData>
            </a:graphic>
          </wp:inline>
        </w:drawing>
      </w:r>
    </w:p>
    <w:p w:rsidR="008F404D" w:rsidRDefault="008F404D" w:rsidP="008F404D">
      <w:pPr>
        <w:pStyle w:val="Caption"/>
        <w:jc w:val="center"/>
      </w:pPr>
      <w:r>
        <w:t xml:space="preserve">Figure </w:t>
      </w:r>
      <w:r>
        <w:fldChar w:fldCharType="begin"/>
      </w:r>
      <w:r>
        <w:instrText xml:space="preserve"> SEQ Figure \* ARABIC </w:instrText>
      </w:r>
      <w:r>
        <w:fldChar w:fldCharType="separate"/>
      </w:r>
      <w:r w:rsidR="004A058B">
        <w:rPr>
          <w:noProof/>
        </w:rPr>
        <w:t>3</w:t>
      </w:r>
      <w:r>
        <w:fldChar w:fldCharType="end"/>
      </w:r>
      <w:r>
        <w:t xml:space="preserve"> - </w:t>
      </w:r>
      <w:r w:rsidRPr="00395D1D">
        <w:t>GLWMS recharge results for converting from corn to corn under no-till with a cover crop, w</w:t>
      </w:r>
      <w:r>
        <w:t>ithout simulating tile drainage</w:t>
      </w:r>
    </w:p>
    <w:p w:rsidR="008F404D" w:rsidRDefault="008F404D" w:rsidP="008F404D"/>
    <w:p w:rsidR="008F404D" w:rsidRDefault="008F404D" w:rsidP="008F404D">
      <w:pPr>
        <w:keepNext/>
      </w:pPr>
      <w:r>
        <w:rPr>
          <w:noProof/>
          <w:lang w:eastAsia="en-US"/>
        </w:rPr>
        <w:drawing>
          <wp:inline distT="0" distB="0" distL="0" distR="0" wp14:anchorId="0A179E7D" wp14:editId="4727C513">
            <wp:extent cx="6411433" cy="3583172"/>
            <wp:effectExtent l="0" t="0" r="8890" b="0"/>
            <wp:docPr id="7" name="Picture 2" descr="recharge_tile3.jpg"/>
            <wp:cNvGraphicFramePr/>
            <a:graphic xmlns:a="http://schemas.openxmlformats.org/drawingml/2006/main">
              <a:graphicData uri="http://schemas.openxmlformats.org/drawingml/2006/picture">
                <pic:pic xmlns:pic="http://schemas.openxmlformats.org/drawingml/2006/picture">
                  <pic:nvPicPr>
                    <pic:cNvPr id="3" name="Picture 2" descr="recharge_tile3.jpg"/>
                    <pic:cNvPicPr/>
                  </pic:nvPicPr>
                  <pic:blipFill>
                    <a:blip r:embed="rId16" cstate="print"/>
                    <a:stretch>
                      <a:fillRect/>
                    </a:stretch>
                  </pic:blipFill>
                  <pic:spPr>
                    <a:xfrm>
                      <a:off x="0" y="0"/>
                      <a:ext cx="6408029" cy="3581269"/>
                    </a:xfrm>
                    <a:prstGeom prst="rect">
                      <a:avLst/>
                    </a:prstGeom>
                  </pic:spPr>
                </pic:pic>
              </a:graphicData>
            </a:graphic>
          </wp:inline>
        </w:drawing>
      </w:r>
    </w:p>
    <w:p w:rsidR="008F404D" w:rsidRDefault="008F404D" w:rsidP="008F404D">
      <w:pPr>
        <w:pStyle w:val="Caption"/>
        <w:jc w:val="center"/>
      </w:pPr>
      <w:r>
        <w:t xml:space="preserve">Figure </w:t>
      </w:r>
      <w:r>
        <w:fldChar w:fldCharType="begin"/>
      </w:r>
      <w:r>
        <w:instrText xml:space="preserve"> SEQ Figure \* ARABIC </w:instrText>
      </w:r>
      <w:r>
        <w:fldChar w:fldCharType="separate"/>
      </w:r>
      <w:r w:rsidR="004A058B">
        <w:rPr>
          <w:noProof/>
        </w:rPr>
        <w:t>4</w:t>
      </w:r>
      <w:r>
        <w:fldChar w:fldCharType="end"/>
      </w:r>
      <w:r>
        <w:t xml:space="preserve"> - </w:t>
      </w:r>
      <w:r w:rsidRPr="00BA0E5C">
        <w:t>GLWMS recharge results for converting from corn to corn under no-till with a cover crop, including tile drainage</w:t>
      </w:r>
    </w:p>
    <w:p w:rsidR="004A058B" w:rsidRDefault="004A058B" w:rsidP="005B1C49">
      <w:pPr>
        <w:pStyle w:val="Heading1"/>
      </w:pPr>
      <w:r>
        <w:lastRenderedPageBreak/>
        <w:t xml:space="preserve">GLWMS and Tile drain management </w:t>
      </w:r>
      <w:r w:rsidR="009A6015">
        <w:t>simulations</w:t>
      </w:r>
    </w:p>
    <w:p w:rsidR="004A058B" w:rsidRDefault="004A058B" w:rsidP="004A058B">
      <w:r>
        <w:t xml:space="preserve">IWR explored the feasibility of incorporating tile drain management as a </w:t>
      </w:r>
      <w:r w:rsidR="009A6015">
        <w:t xml:space="preserve">simulated </w:t>
      </w:r>
      <w:r>
        <w:t>best management practice in the GLWMS.</w:t>
      </w:r>
      <w:r w:rsidR="000B2707">
        <w:t xml:space="preserve"> This could be accomplished in a number of ways ranging from simple to complex. The simpler approach would involve conducting a literature review to determine relationships of soil types, water volume, and other factors relate</w:t>
      </w:r>
      <w:r w:rsidR="00D04BD9">
        <w:t>d</w:t>
      </w:r>
      <w:r w:rsidR="000B2707">
        <w:t xml:space="preserve"> to nutrient loads. This information </w:t>
      </w:r>
      <w:r w:rsidR="00D04BD9">
        <w:t>can</w:t>
      </w:r>
      <w:r w:rsidR="000B2707">
        <w:t xml:space="preserve"> be built into a look-up table and incorporated into the GLWMS. Assumptions on correctly managed drainage structures would have to be assumed.</w:t>
      </w:r>
      <w:r w:rsidR="00D04BD9">
        <w:t xml:space="preserve"> A more complex method could be modeled with HYDRUS 3D or related software that could be calibrated to existing drain structures. Results from the modeling effort could then be built into the GLWMS. There would be a greater investment in both time and resources to complete a modeled simulation of tile drain management as compared to a literature review or literature review and incorporation of existing tile drain management monitoring. </w:t>
      </w:r>
    </w:p>
    <w:p w:rsidR="004A058B" w:rsidRPr="004A058B" w:rsidRDefault="004A058B" w:rsidP="004A058B"/>
    <w:p w:rsidR="005B1C49" w:rsidRDefault="005B1C49" w:rsidP="005B1C49">
      <w:pPr>
        <w:pStyle w:val="Heading1"/>
      </w:pPr>
      <w:r>
        <w:t>Future Work</w:t>
      </w:r>
    </w:p>
    <w:p w:rsidR="005B1C49" w:rsidRDefault="005B1C49" w:rsidP="005B1C49">
      <w:r>
        <w:t xml:space="preserve">Because this project focused on Saginaw Bay, estimates for reductions in recharge in the presence of agricultural tile drainage were </w:t>
      </w:r>
      <w:proofErr w:type="spellStart"/>
      <w:r>
        <w:t>undersampled</w:t>
      </w:r>
      <w:proofErr w:type="spellEnd"/>
      <w:r>
        <w:t xml:space="preserve"> on sandier soils because of the prevalence of clay soils in the region.  In order to produce better estimates on A and B hydrologic soils, future HYDRUS modeling should be done in areas where these soils are more typical.  Additionally, future HYDRUS modeling should explore different tile drainage parameters, such as spacing, tile depth, and drain diameter.  For this initial exploration in the Saginaw Bay Basin, those parameter values were held constant.  More detailed modeling could potentially allow GLWMS users to define these values as opposed to simply treating tile drainage as a binary variable.</w:t>
      </w:r>
    </w:p>
    <w:p w:rsidR="005B1C49" w:rsidRDefault="005B1C49" w:rsidP="005B1C49"/>
    <w:p w:rsidR="005B1C49" w:rsidRDefault="005B1C49">
      <w:pPr>
        <w:spacing w:after="200" w:line="276" w:lineRule="auto"/>
      </w:pPr>
      <w:r>
        <w:br w:type="page"/>
      </w:r>
    </w:p>
    <w:p w:rsidR="005B1C49" w:rsidRDefault="005B1C49" w:rsidP="005B1C49">
      <w:pPr>
        <w:pStyle w:val="Heading1"/>
      </w:pPr>
    </w:p>
    <w:p w:rsidR="005B1C49" w:rsidRDefault="005B1C49" w:rsidP="005B1C49">
      <w:pPr>
        <w:pStyle w:val="Heading1"/>
      </w:pPr>
    </w:p>
    <w:p w:rsidR="005B1C49" w:rsidRDefault="005B1C49" w:rsidP="005B1C49">
      <w:pPr>
        <w:pStyle w:val="Heading1"/>
      </w:pPr>
      <w:r>
        <w:t>Authors</w:t>
      </w:r>
    </w:p>
    <w:p w:rsidR="008B0F0C" w:rsidRPr="008B0F0C" w:rsidRDefault="005B1C49" w:rsidP="008B0F0C">
      <w:pPr>
        <w:pStyle w:val="Heading4"/>
      </w:pPr>
      <w:r>
        <w:t>Institute of Water Research</w:t>
      </w:r>
      <w:r w:rsidR="00D04BD9">
        <w:t xml:space="preserve"> - Michigan State University</w:t>
      </w:r>
    </w:p>
    <w:p w:rsidR="005B1C49" w:rsidRDefault="005B1C49" w:rsidP="005B1C49">
      <w:r>
        <w:t>Jeremiah Asher</w:t>
      </w:r>
      <w:r>
        <w:tab/>
      </w:r>
      <w:r>
        <w:tab/>
      </w:r>
      <w:hyperlink r:id="rId17" w:history="1">
        <w:r w:rsidRPr="005A6BAD">
          <w:rPr>
            <w:rStyle w:val="Hyperlink"/>
          </w:rPr>
          <w:t>asherjer@msu.edu</w:t>
        </w:r>
      </w:hyperlink>
    </w:p>
    <w:p w:rsidR="005B1C49" w:rsidRDefault="005B1C49" w:rsidP="005B1C49">
      <w:r>
        <w:t>Glenn O’Neil</w:t>
      </w:r>
      <w:r>
        <w:tab/>
      </w:r>
      <w:r>
        <w:tab/>
      </w:r>
      <w:hyperlink r:id="rId18" w:history="1">
        <w:r w:rsidRPr="005A6BAD">
          <w:rPr>
            <w:rStyle w:val="Hyperlink"/>
          </w:rPr>
          <w:t>oneilg@msu.edu</w:t>
        </w:r>
      </w:hyperlink>
      <w:bookmarkStart w:id="0" w:name="_GoBack"/>
      <w:bookmarkEnd w:id="0"/>
    </w:p>
    <w:p w:rsidR="005B1C49" w:rsidRDefault="005B1C49" w:rsidP="005B1C49"/>
    <w:p w:rsidR="005B1C49" w:rsidRDefault="005B1C49" w:rsidP="005B1C49">
      <w:pPr>
        <w:pStyle w:val="Heading4"/>
      </w:pPr>
      <w:r>
        <w:t>Plant, Soil, and Microbial Science</w:t>
      </w:r>
      <w:r w:rsidR="00D04BD9">
        <w:t xml:space="preserve"> – Michigan State University</w:t>
      </w:r>
    </w:p>
    <w:p w:rsidR="005B1C49" w:rsidRDefault="005B1C49" w:rsidP="005B1C49">
      <w:r>
        <w:t>Andrey Guber</w:t>
      </w:r>
      <w:r>
        <w:tab/>
      </w:r>
      <w:r>
        <w:tab/>
      </w:r>
      <w:hyperlink r:id="rId19" w:history="1">
        <w:r w:rsidRPr="005A6BAD">
          <w:rPr>
            <w:rStyle w:val="Hyperlink"/>
          </w:rPr>
          <w:t>akguber@msu.edu</w:t>
        </w:r>
      </w:hyperlink>
    </w:p>
    <w:p w:rsidR="005B1C49" w:rsidRPr="005B1C49" w:rsidRDefault="005B1C49" w:rsidP="005B1C49"/>
    <w:sectPr w:rsidR="005B1C49" w:rsidRPr="005B1C49">
      <w:headerReference w:type="even" r:id="rId20"/>
      <w:headerReference w:type="default" r:id="rId21"/>
      <w:footerReference w:type="even" r:id="rId22"/>
      <w:footerReference w:type="default" r:id="rId23"/>
      <w:pgSz w:w="12240" w:h="15840"/>
      <w:pgMar w:top="1080" w:right="1080" w:bottom="108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135" w:rsidRDefault="00020135">
      <w:pPr>
        <w:spacing w:after="0" w:line="240" w:lineRule="auto"/>
      </w:pPr>
      <w:r>
        <w:separator/>
      </w:r>
    </w:p>
  </w:endnote>
  <w:endnote w:type="continuationSeparator" w:id="0">
    <w:p w:rsidR="00020135" w:rsidRDefault="00020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6AC7FDFB" w:usb2="00000012" w:usb3="00000000" w:csb0="0002009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562" w:rsidRDefault="00030562"/>
  <w:p w:rsidR="00030562" w:rsidRDefault="000225CA" w:rsidP="00B4411E">
    <w:pPr>
      <w:pStyle w:val="FooterEven"/>
      <w:tabs>
        <w:tab w:val="center" w:pos="5040"/>
      </w:tabs>
    </w:pPr>
    <w:r>
      <w:t xml:space="preserve">Page </w:t>
    </w:r>
    <w:r>
      <w:fldChar w:fldCharType="begin"/>
    </w:r>
    <w:r>
      <w:instrText xml:space="preserve"> PAGE   \* MERGEFORMAT </w:instrText>
    </w:r>
    <w:r>
      <w:fldChar w:fldCharType="separate"/>
    </w:r>
    <w:r w:rsidR="008B0F0C" w:rsidRPr="008B0F0C">
      <w:rPr>
        <w:noProof/>
        <w:sz w:val="24"/>
        <w:szCs w:val="24"/>
      </w:rPr>
      <w:t>2</w:t>
    </w:r>
    <w:r>
      <w:rPr>
        <w:noProof/>
        <w:sz w:val="24"/>
        <w:szCs w:val="24"/>
      </w:rPr>
      <w:fldChar w:fldCharType="end"/>
    </w:r>
    <w:r w:rsidR="00B4411E">
      <w:rPr>
        <w:noProof/>
        <w:sz w:val="24"/>
        <w:szCs w:val="24"/>
      </w:rPr>
      <w:tab/>
    </w:r>
    <w:r w:rsidR="00B4411E">
      <w:t>Institute of Water Research</w:t>
    </w:r>
    <w:r w:rsidR="00BD1593">
      <w:t xml:space="preserve"> - MSU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562" w:rsidRDefault="00030562"/>
  <w:p w:rsidR="00030562" w:rsidRDefault="00B4411E" w:rsidP="00B4411E">
    <w:pPr>
      <w:pStyle w:val="FooterOdd"/>
      <w:tabs>
        <w:tab w:val="left" w:pos="3600"/>
        <w:tab w:val="right" w:pos="10080"/>
      </w:tabs>
      <w:jc w:val="left"/>
    </w:pPr>
    <w:r>
      <w:tab/>
      <w:t>Institute of Water Research</w:t>
    </w:r>
    <w:r w:rsidR="00BD1593">
      <w:t xml:space="preserve"> - MSU</w:t>
    </w:r>
    <w:r>
      <w:tab/>
    </w:r>
    <w:r w:rsidR="000225CA">
      <w:t xml:space="preserve">Page </w:t>
    </w:r>
    <w:r w:rsidR="000225CA">
      <w:fldChar w:fldCharType="begin"/>
    </w:r>
    <w:r w:rsidR="000225CA">
      <w:instrText xml:space="preserve"> PAGE   \* MERGEFORMAT </w:instrText>
    </w:r>
    <w:r w:rsidR="000225CA">
      <w:fldChar w:fldCharType="separate"/>
    </w:r>
    <w:r w:rsidR="008B0F0C" w:rsidRPr="008B0F0C">
      <w:rPr>
        <w:noProof/>
        <w:sz w:val="24"/>
        <w:szCs w:val="24"/>
      </w:rPr>
      <w:t>1</w:t>
    </w:r>
    <w:r w:rsidR="000225CA">
      <w:rPr>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135" w:rsidRDefault="00020135">
      <w:pPr>
        <w:spacing w:after="0" w:line="240" w:lineRule="auto"/>
      </w:pPr>
      <w:r>
        <w:separator/>
      </w:r>
    </w:p>
  </w:footnote>
  <w:footnote w:type="continuationSeparator" w:id="0">
    <w:p w:rsidR="00020135" w:rsidRDefault="00020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562" w:rsidRDefault="00020135">
    <w:pPr>
      <w:pStyle w:val="HeaderEven"/>
    </w:pPr>
    <w:sdt>
      <w:sdtPr>
        <w:alias w:val="Title"/>
        <w:id w:val="540890930"/>
        <w:dataBinding w:prefixMappings="xmlns:ns0='http://schemas.openxmlformats.org/package/2006/metadata/core-properties' xmlns:ns1='http://purl.org/dc/elements/1.1/'" w:xpath="/ns0:coreProperties[1]/ns1:title[1]" w:storeItemID="{6C3C8BC8-F283-45AE-878A-BAB7291924A1}"/>
        <w:text/>
      </w:sdtPr>
      <w:sdtEndPr/>
      <w:sdtContent>
        <w:r w:rsidR="003B0F27">
          <w:t>Simulated Effects of Tile Drains on Recharge</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562" w:rsidRDefault="00020135">
    <w:pPr>
      <w:pStyle w:val="HeaderOdd"/>
    </w:pPr>
    <w:sdt>
      <w:sdtPr>
        <w:alias w:val="Title"/>
        <w:id w:val="540932446"/>
        <w:dataBinding w:prefixMappings="xmlns:ns0='http://schemas.openxmlformats.org/package/2006/metadata/core-properties' xmlns:ns1='http://purl.org/dc/elements/1.1/'" w:xpath="/ns0:coreProperties[1]/ns1:title[1]" w:storeItemID="{6C3C8BC8-F283-45AE-878A-BAB7291924A1}"/>
        <w:text/>
      </w:sdtPr>
      <w:sdtEndPr/>
      <w:sdtContent>
        <w:r w:rsidR="003B0F27">
          <w:t>Simulated Effects of Tile Drains on Recharge</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297FD5"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4"/>
  </w:num>
  <w:num w:numId="2">
    <w:abstractNumId w:val="6"/>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5"/>
  </w:num>
  <w:num w:numId="12">
    <w:abstractNumId w:val="6"/>
  </w:num>
  <w:num w:numId="13">
    <w:abstractNumId w:val="3"/>
  </w:num>
  <w:num w:numId="14">
    <w:abstractNumId w:val="2"/>
  </w:num>
  <w:num w:numId="15">
    <w:abstractNumId w:val="1"/>
  </w:num>
  <w:num w:numId="16">
    <w:abstractNumId w:val="0"/>
  </w:num>
  <w:num w:numId="17">
    <w:abstractNumId w:val="5"/>
  </w:num>
  <w:num w:numId="18">
    <w:abstractNumId w:val="6"/>
  </w:num>
  <w:num w:numId="19">
    <w:abstractNumId w:val="3"/>
  </w:num>
  <w:num w:numId="20">
    <w:abstractNumId w:val="2"/>
  </w:num>
  <w:num w:numId="21">
    <w:abstractNumId w:val="1"/>
  </w:num>
  <w:num w:numId="22">
    <w:abstractNumId w:val="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proofState w:spelling="clean" w:grammar="clean"/>
  <w:attachedTemplate r:id="rId1"/>
  <w:defaultTabStop w:val="720"/>
  <w:evenAndOddHeaders/>
  <w:drawingGridHorizontalSpacing w:val="11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F48"/>
    <w:rsid w:val="00020135"/>
    <w:rsid w:val="000225CA"/>
    <w:rsid w:val="00030562"/>
    <w:rsid w:val="00033333"/>
    <w:rsid w:val="000B2707"/>
    <w:rsid w:val="002A6DEC"/>
    <w:rsid w:val="003B0F27"/>
    <w:rsid w:val="0048399F"/>
    <w:rsid w:val="004A058B"/>
    <w:rsid w:val="00530236"/>
    <w:rsid w:val="005B1C49"/>
    <w:rsid w:val="007C3F48"/>
    <w:rsid w:val="008B0F0C"/>
    <w:rsid w:val="008F404D"/>
    <w:rsid w:val="00971D4E"/>
    <w:rsid w:val="009A6015"/>
    <w:rsid w:val="00AE39DA"/>
    <w:rsid w:val="00B4411E"/>
    <w:rsid w:val="00BD1593"/>
    <w:rsid w:val="00BD31E5"/>
    <w:rsid w:val="00CC1D25"/>
    <w:rsid w:val="00D04BD9"/>
    <w:rsid w:val="00D47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64" w:lineRule="auto"/>
    </w:pPr>
    <w:rPr>
      <w:lang w:eastAsia="ja-JP"/>
    </w:rPr>
  </w:style>
  <w:style w:type="paragraph" w:styleId="Heading1">
    <w:name w:val="heading 1"/>
    <w:basedOn w:val="Normal"/>
    <w:next w:val="Normal"/>
    <w:link w:val="Heading1Char"/>
    <w:uiPriority w:val="9"/>
    <w:unhideWhenUsed/>
    <w:qFormat/>
    <w:pPr>
      <w:spacing w:before="300" w:after="80" w:line="240" w:lineRule="auto"/>
      <w:outlineLvl w:val="0"/>
    </w:pPr>
    <w:rPr>
      <w:rFonts w:asciiTheme="majorHAnsi" w:hAnsiTheme="majorHAnsi"/>
      <w:caps/>
      <w:color w:val="242852" w:themeColor="text2"/>
      <w:sz w:val="32"/>
      <w:szCs w:val="32"/>
    </w:rPr>
  </w:style>
  <w:style w:type="paragraph" w:styleId="Heading2">
    <w:name w:val="heading 2"/>
    <w:basedOn w:val="Normal"/>
    <w:next w:val="Normal"/>
    <w:link w:val="Heading2Char"/>
    <w:uiPriority w:val="9"/>
    <w:unhideWhenUsed/>
    <w:qFormat/>
    <w:pPr>
      <w:spacing w:before="240" w:after="80"/>
      <w:outlineLvl w:val="1"/>
    </w:pPr>
    <w:rPr>
      <w:b/>
      <w:color w:val="629DD1" w:themeColor="accent1"/>
      <w:spacing w:val="20"/>
      <w:sz w:val="28"/>
      <w:szCs w:val="28"/>
    </w:rPr>
  </w:style>
  <w:style w:type="paragraph" w:styleId="Heading3">
    <w:name w:val="heading 3"/>
    <w:basedOn w:val="Normal"/>
    <w:next w:val="Normal"/>
    <w:link w:val="Heading3Char"/>
    <w:uiPriority w:val="9"/>
    <w:unhideWhenUsed/>
    <w:qFormat/>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unhideWhenUsed/>
    <w:qFormat/>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qFormat/>
    <w:pPr>
      <w:spacing w:before="200" w:after="0"/>
      <w:outlineLvl w:val="4"/>
    </w:pPr>
    <w:rPr>
      <w:b/>
      <w:color w:val="242852" w:themeColor="text2"/>
      <w:spacing w:val="10"/>
      <w:szCs w:val="26"/>
    </w:rPr>
  </w:style>
  <w:style w:type="paragraph" w:styleId="Heading6">
    <w:name w:val="heading 6"/>
    <w:basedOn w:val="Normal"/>
    <w:next w:val="Normal"/>
    <w:link w:val="Heading6Char"/>
    <w:uiPriority w:val="9"/>
    <w:semiHidden/>
    <w:unhideWhenUsed/>
    <w:qFormat/>
    <w:pPr>
      <w:spacing w:after="0"/>
      <w:outlineLvl w:val="5"/>
    </w:pPr>
    <w:rPr>
      <w:b/>
      <w:color w:val="297FD5"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629DD1"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7F8FA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s="Times New Roman"/>
      <w:caps/>
      <w:color w:val="242852" w:themeColor="text2"/>
      <w:sz w:val="32"/>
      <w:szCs w:val="32"/>
      <w:lang w:eastAsia="ja-JP"/>
    </w:rPr>
  </w:style>
  <w:style w:type="character" w:customStyle="1" w:styleId="Heading2Char">
    <w:name w:val="Heading 2 Char"/>
    <w:basedOn w:val="DefaultParagraphFont"/>
    <w:link w:val="Heading2"/>
    <w:uiPriority w:val="9"/>
    <w:rPr>
      <w:rFonts w:cs="Times New Roman"/>
      <w:b/>
      <w:color w:val="629DD1" w:themeColor="accent1"/>
      <w:spacing w:val="20"/>
      <w:sz w:val="28"/>
      <w:szCs w:val="28"/>
      <w:lang w:eastAsia="ja-JP"/>
    </w:rPr>
  </w:style>
  <w:style w:type="character" w:customStyle="1" w:styleId="Heading3Char">
    <w:name w:val="Heading 3 Char"/>
    <w:basedOn w:val="DefaultParagraphFont"/>
    <w:link w:val="Heading3"/>
    <w:uiPriority w:val="9"/>
    <w:rPr>
      <w:rFonts w:cs="Times New Roman"/>
      <w:b/>
      <w:color w:val="000000" w:themeColor="text1"/>
      <w:spacing w:val="10"/>
      <w:sz w:val="23"/>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pPr>
      <w:pBdr>
        <w:top w:val="double" w:sz="12" w:space="10" w:color="297FD5" w:themeColor="accent2"/>
        <w:left w:val="double" w:sz="12" w:space="10" w:color="297FD5" w:themeColor="accent2"/>
        <w:bottom w:val="double" w:sz="12" w:space="10" w:color="297FD5" w:themeColor="accent2"/>
        <w:right w:val="double" w:sz="12" w:space="10" w:color="297FD5" w:themeColor="accent2"/>
      </w:pBdr>
      <w:shd w:val="clear" w:color="auto" w:fill="FFFFFF" w:themeFill="background1"/>
      <w:spacing w:before="300" w:after="300"/>
      <w:ind w:left="720" w:right="720"/>
      <w:contextualSpacing/>
    </w:pPr>
    <w:rPr>
      <w:b/>
      <w:color w:val="297FD5" w:themeColor="accent2"/>
    </w:rPr>
  </w:style>
  <w:style w:type="character" w:customStyle="1" w:styleId="IntenseQuoteChar">
    <w:name w:val="Intense Quote Char"/>
    <w:basedOn w:val="DefaultParagraphFont"/>
    <w:link w:val="IntenseQuote"/>
    <w:uiPriority w:val="30"/>
    <w:rPr>
      <w:rFonts w:cs="Times New Roman"/>
      <w:b/>
      <w:color w:val="297FD5" w:themeColor="accent2"/>
      <w:sz w:val="23"/>
      <w:szCs w:val="20"/>
      <w:shd w:val="clear" w:color="auto" w:fill="FFFFFF" w:themeFill="background1"/>
      <w:lang w:eastAsia="ja-JP"/>
    </w:rPr>
  </w:style>
  <w:style w:type="paragraph" w:styleId="Subtitle">
    <w:name w:val="Subtitle"/>
    <w:basedOn w:val="Normal"/>
    <w:link w:val="SubtitleChar"/>
    <w:uiPriority w:val="11"/>
    <w:qFormat/>
    <w:pPr>
      <w:spacing w:after="720" w:line="240" w:lineRule="auto"/>
    </w:pPr>
    <w:rPr>
      <w:rFonts w:asciiTheme="majorHAnsi" w:hAnsiTheme="majorHAnsi"/>
      <w:b/>
      <w:caps/>
      <w:color w:val="297FD5"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297FD5" w:themeColor="accent2"/>
      <w:spacing w:val="50"/>
      <w:sz w:val="24"/>
      <w:lang w:eastAsia="ja-JP"/>
    </w:rPr>
  </w:style>
  <w:style w:type="paragraph" w:styleId="Title">
    <w:name w:val="Title"/>
    <w:basedOn w:val="Normal"/>
    <w:link w:val="TitleChar"/>
    <w:uiPriority w:val="10"/>
    <w:qFormat/>
    <w:pPr>
      <w:spacing w:after="0" w:line="240" w:lineRule="auto"/>
    </w:pPr>
    <w:rPr>
      <w:color w:val="242852" w:themeColor="text2"/>
      <w:sz w:val="72"/>
      <w:szCs w:val="48"/>
    </w:rPr>
  </w:style>
  <w:style w:type="character" w:customStyle="1" w:styleId="TitleChar">
    <w:name w:val="Title Char"/>
    <w:basedOn w:val="DefaultParagraphFont"/>
    <w:link w:val="Title"/>
    <w:uiPriority w:val="10"/>
    <w:rPr>
      <w:rFonts w:cs="Times New Roman"/>
      <w:color w:val="242852" w:themeColor="text2"/>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242852" w:themeColor="text2"/>
      <w:sz w:val="23"/>
      <w:szCs w:val="20"/>
    </w:rPr>
  </w:style>
  <w:style w:type="paragraph" w:styleId="Caption">
    <w:name w:val="caption"/>
    <w:basedOn w:val="Normal"/>
    <w:next w:val="Normal"/>
    <w:uiPriority w:val="35"/>
    <w:unhideWhenUsed/>
    <w:rPr>
      <w:b/>
      <w:bCs/>
      <w:caps/>
      <w:sz w:val="16"/>
      <w:szCs w:val="18"/>
    </w:rPr>
  </w:style>
  <w:style w:type="character" w:styleId="Emphasis">
    <w:name w:val="Emphasis"/>
    <w:uiPriority w:val="20"/>
    <w:qFormat/>
    <w:rPr>
      <w:rFonts w:asciiTheme="minorHAnsi" w:hAnsiTheme="minorHAnsi"/>
      <w:b/>
      <w:i/>
      <w:color w:val="242852" w:themeColor="text2"/>
      <w:spacing w:val="10"/>
      <w:sz w:val="23"/>
    </w:rPr>
  </w:style>
  <w:style w:type="character" w:customStyle="1" w:styleId="Heading4Char">
    <w:name w:val="Heading 4 Char"/>
    <w:basedOn w:val="DefaultParagraphFont"/>
    <w:link w:val="Heading4"/>
    <w:uiPriority w:val="9"/>
    <w:rPr>
      <w:rFonts w:cs="Times New Roman"/>
      <w:caps/>
      <w:spacing w:val="14"/>
      <w:lang w:eastAsia="ja-JP"/>
    </w:rPr>
  </w:style>
  <w:style w:type="character" w:customStyle="1" w:styleId="Heading5Char">
    <w:name w:val="Heading 5 Char"/>
    <w:basedOn w:val="DefaultParagraphFont"/>
    <w:link w:val="Heading5"/>
    <w:uiPriority w:val="9"/>
    <w:semiHidden/>
    <w:rPr>
      <w:rFonts w:cs="Times New Roman"/>
      <w:b/>
      <w:color w:val="242852"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297FD5"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629DD1"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7F8FA9" w:themeColor="accent3"/>
      <w:spacing w:val="40"/>
      <w:sz w:val="20"/>
      <w:szCs w:val="20"/>
      <w:lang w:eastAsia="ja-JP"/>
    </w:rPr>
  </w:style>
  <w:style w:type="character" w:styleId="Hyperlink">
    <w:name w:val="Hyperlink"/>
    <w:basedOn w:val="DefaultParagraphFont"/>
    <w:uiPriority w:val="99"/>
    <w:unhideWhenUsed/>
    <w:rPr>
      <w:color w:val="9454C3" w:themeColor="hyperlink"/>
      <w:u w:val="single"/>
    </w:rPr>
  </w:style>
  <w:style w:type="character" w:styleId="IntenseEmphasis">
    <w:name w:val="Intense Emphasis"/>
    <w:basedOn w:val="DefaultParagraphFont"/>
    <w:uiPriority w:val="21"/>
    <w:qFormat/>
    <w:rPr>
      <w:rFonts w:asciiTheme="minorHAnsi" w:hAnsiTheme="minorHAnsi"/>
      <w:b/>
      <w:dstrike w:val="0"/>
      <w:color w:val="297FD5"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629DD1" w:themeColor="accent1"/>
      <w:spacing w:val="10"/>
      <w:w w:val="100"/>
      <w:position w:val="0"/>
      <w:sz w:val="20"/>
      <w:szCs w:val="18"/>
      <w:u w:val="single" w:color="629DD1"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qFormat/>
    <w:pPr>
      <w:numPr>
        <w:numId w:val="18"/>
      </w:numPr>
    </w:pPr>
    <w:rPr>
      <w:sz w:val="24"/>
    </w:rPr>
  </w:style>
  <w:style w:type="paragraph" w:styleId="ListBullet2">
    <w:name w:val="List Bullet 2"/>
    <w:basedOn w:val="Normal"/>
    <w:uiPriority w:val="36"/>
    <w:unhideWhenUsed/>
    <w:qFormat/>
    <w:pPr>
      <w:numPr>
        <w:numId w:val="19"/>
      </w:numPr>
    </w:pPr>
    <w:rPr>
      <w:color w:val="629DD1" w:themeColor="accent1"/>
    </w:rPr>
  </w:style>
  <w:style w:type="paragraph" w:styleId="ListBullet3">
    <w:name w:val="List Bullet 3"/>
    <w:basedOn w:val="Normal"/>
    <w:uiPriority w:val="36"/>
    <w:unhideWhenUsed/>
    <w:qFormat/>
    <w:pPr>
      <w:numPr>
        <w:numId w:val="20"/>
      </w:numPr>
    </w:pPr>
    <w:rPr>
      <w:color w:val="297FD5" w:themeColor="accent2"/>
    </w:rPr>
  </w:style>
  <w:style w:type="paragraph" w:styleId="ListBullet4">
    <w:name w:val="List Bullet 4"/>
    <w:basedOn w:val="Normal"/>
    <w:uiPriority w:val="36"/>
    <w:unhideWhenUsed/>
    <w:qFormat/>
    <w:pPr>
      <w:numPr>
        <w:numId w:val="21"/>
      </w:numPr>
    </w:pPr>
    <w:rPr>
      <w:caps/>
      <w:spacing w:val="4"/>
    </w:rPr>
  </w:style>
  <w:style w:type="paragraph" w:styleId="ListBullet5">
    <w:name w:val="List Bullet 5"/>
    <w:basedOn w:val="Normal"/>
    <w:uiPriority w:val="36"/>
    <w:unhideWhenUsed/>
    <w:qFormat/>
    <w:pPr>
      <w:numPr>
        <w:numId w:val="22"/>
      </w:numPr>
    </w:pPr>
  </w:style>
  <w:style w:type="paragraph" w:styleId="ListParagraph">
    <w:name w:val="List Paragraph"/>
    <w:basedOn w:val="Normal"/>
    <w:uiPriority w:val="34"/>
    <w:unhideWhenUsed/>
    <w:qFormat/>
    <w:pPr>
      <w:ind w:left="720"/>
      <w:contextualSpacing/>
    </w:pPr>
  </w:style>
  <w:style w:type="numbering" w:customStyle="1" w:styleId="MedianListStyle">
    <w:name w:val="Median List Style"/>
    <w:uiPriority w:val="99"/>
    <w:pPr>
      <w:numPr>
        <w:numId w:val="11"/>
      </w:numPr>
    </w:pPr>
  </w:style>
  <w:style w:type="paragraph" w:styleId="NoSpacing">
    <w:name w:val="No Spacing"/>
    <w:basedOn w:val="Normal"/>
    <w:uiPriority w:val="99"/>
    <w:qFormat/>
    <w:pPr>
      <w:spacing w:after="0" w:line="240" w:lineRule="auto"/>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Pr>
      <w:i/>
      <w:smallCaps/>
      <w:color w:val="242852" w:themeColor="text2"/>
      <w:spacing w:val="6"/>
    </w:rPr>
  </w:style>
  <w:style w:type="character" w:customStyle="1" w:styleId="QuoteChar">
    <w:name w:val="Quote Char"/>
    <w:basedOn w:val="DefaultParagraphFont"/>
    <w:link w:val="Quote"/>
    <w:uiPriority w:val="29"/>
    <w:rPr>
      <w:rFonts w:cs="Times New Roman"/>
      <w:i/>
      <w:smallCaps/>
      <w:color w:val="242852" w:themeColor="text2"/>
      <w:spacing w:val="6"/>
      <w:sz w:val="23"/>
      <w:szCs w:val="20"/>
      <w:lang w:eastAsia="ja-JP"/>
    </w:rPr>
  </w:style>
  <w:style w:type="character" w:styleId="Strong">
    <w:name w:val="Strong"/>
    <w:uiPriority w:val="22"/>
    <w:qFormat/>
    <w:rPr>
      <w:rFonts w:asciiTheme="minorHAnsi" w:hAnsiTheme="minorHAnsi"/>
      <w:b/>
      <w:color w:val="297FD5"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242852" w:themeColor="text2"/>
      <w:sz w:val="23"/>
    </w:r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42852"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Category">
    <w:name w:val="Category"/>
    <w:basedOn w:val="Normal"/>
    <w:uiPriority w:val="49"/>
    <w:pPr>
      <w:spacing w:after="0"/>
    </w:pPr>
    <w:rPr>
      <w:b/>
      <w:sz w:val="24"/>
      <w:szCs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qFormat/>
    <w:pPr>
      <w:pBdr>
        <w:top w:val="single" w:sz="4" w:space="1" w:color="629DD1" w:themeColor="accent1"/>
      </w:pBdr>
    </w:pPr>
    <w:rPr>
      <w:color w:val="242852" w:themeColor="text2"/>
      <w:sz w:val="20"/>
    </w:rPr>
  </w:style>
  <w:style w:type="paragraph" w:customStyle="1" w:styleId="FooterOdd">
    <w:name w:val="Footer Odd"/>
    <w:basedOn w:val="Normal"/>
    <w:unhideWhenUsed/>
    <w:qFormat/>
    <w:pPr>
      <w:pBdr>
        <w:top w:val="single" w:sz="4" w:space="1" w:color="629DD1" w:themeColor="accent1"/>
      </w:pBdr>
      <w:jc w:val="right"/>
    </w:pPr>
    <w:rPr>
      <w:color w:val="242852" w:themeColor="text2"/>
      <w:sz w:val="20"/>
    </w:rPr>
  </w:style>
  <w:style w:type="paragraph" w:customStyle="1" w:styleId="HeaderEven">
    <w:name w:val="Header Even"/>
    <w:basedOn w:val="Normal"/>
    <w:unhideWhenUsed/>
    <w:qFormat/>
    <w:pPr>
      <w:pBdr>
        <w:bottom w:val="single" w:sz="4" w:space="1" w:color="629DD1" w:themeColor="accent1"/>
      </w:pBdr>
      <w:spacing w:after="0" w:line="240" w:lineRule="auto"/>
    </w:pPr>
    <w:rPr>
      <w:rFonts w:eastAsia="Times New Roman"/>
      <w:b/>
      <w:color w:val="242852" w:themeColor="text2"/>
      <w:sz w:val="20"/>
      <w:szCs w:val="24"/>
      <w:lang w:eastAsia="ko-KR"/>
    </w:rPr>
  </w:style>
  <w:style w:type="paragraph" w:customStyle="1" w:styleId="HeaderOdd">
    <w:name w:val="Header Odd"/>
    <w:basedOn w:val="Normal"/>
    <w:unhideWhenUsed/>
    <w:qFormat/>
    <w:pPr>
      <w:pBdr>
        <w:bottom w:val="single" w:sz="4" w:space="1" w:color="629DD1" w:themeColor="accent1"/>
      </w:pBdr>
      <w:spacing w:after="0" w:line="240" w:lineRule="auto"/>
      <w:jc w:val="right"/>
    </w:pPr>
    <w:rPr>
      <w:rFonts w:eastAsia="Times New Roman"/>
      <w:b/>
      <w:color w:val="242852" w:themeColor="text2"/>
      <w:sz w:val="20"/>
      <w:szCs w:val="24"/>
      <w:lang w:eastAsia="ko-KR"/>
    </w:rPr>
  </w:style>
  <w:style w:type="paragraph" w:customStyle="1" w:styleId="NoSpacing0">
    <w:name w:val="NoSpacing"/>
    <w:basedOn w:val="Normal"/>
    <w:qFormat/>
    <w:pPr>
      <w:framePr w:wrap="auto" w:hAnchor="page" w:xAlign="center" w:yAlign="top"/>
      <w:spacing w:after="0" w:line="240" w:lineRule="auto"/>
      <w:suppressOverlap/>
    </w:pPr>
    <w:rPr>
      <w:szCs w:val="120"/>
    </w:rPr>
  </w:style>
  <w:style w:type="table" w:styleId="LightList-Accent2">
    <w:name w:val="Light List Accent 2"/>
    <w:basedOn w:val="TableNormal"/>
    <w:uiPriority w:val="42"/>
    <w:rsid w:val="008F404D"/>
    <w:pPr>
      <w:spacing w:after="0" w:line="240" w:lineRule="auto"/>
    </w:pPr>
    <w:tblPr>
      <w:tblStyleRowBandSize w:val="1"/>
      <w:tblStyleColBandSize w:val="1"/>
      <w:tblBorders>
        <w:top w:val="single" w:sz="8" w:space="0" w:color="297FD5" w:themeColor="accent2"/>
        <w:left w:val="single" w:sz="8" w:space="0" w:color="297FD5" w:themeColor="accent2"/>
        <w:bottom w:val="single" w:sz="8" w:space="0" w:color="297FD5" w:themeColor="accent2"/>
        <w:right w:val="single" w:sz="8" w:space="0" w:color="297FD5" w:themeColor="accent2"/>
      </w:tblBorders>
    </w:tblPr>
    <w:tblStylePr w:type="firstRow">
      <w:pPr>
        <w:spacing w:before="0" w:after="0" w:line="240" w:lineRule="auto"/>
      </w:pPr>
      <w:rPr>
        <w:b/>
        <w:bCs/>
        <w:color w:val="FFFFFF" w:themeColor="background1"/>
      </w:rPr>
      <w:tblPr/>
      <w:tcPr>
        <w:shd w:val="clear" w:color="auto" w:fill="297FD5" w:themeFill="accent2"/>
      </w:tcPr>
    </w:tblStylePr>
    <w:tblStylePr w:type="lastRow">
      <w:pPr>
        <w:spacing w:before="0" w:after="0" w:line="240" w:lineRule="auto"/>
      </w:pPr>
      <w:rPr>
        <w:b/>
        <w:bCs/>
      </w:rPr>
      <w:tblPr/>
      <w:tcPr>
        <w:tcBorders>
          <w:top w:val="double" w:sz="6" w:space="0" w:color="297FD5" w:themeColor="accent2"/>
          <w:left w:val="single" w:sz="8" w:space="0" w:color="297FD5" w:themeColor="accent2"/>
          <w:bottom w:val="single" w:sz="8" w:space="0" w:color="297FD5" w:themeColor="accent2"/>
          <w:right w:val="single" w:sz="8" w:space="0" w:color="297FD5" w:themeColor="accent2"/>
        </w:tcBorders>
      </w:tcPr>
    </w:tblStylePr>
    <w:tblStylePr w:type="firstCol">
      <w:rPr>
        <w:b/>
        <w:bCs/>
      </w:rPr>
    </w:tblStylePr>
    <w:tblStylePr w:type="lastCol">
      <w:rPr>
        <w:b/>
        <w:bCs/>
      </w:rPr>
    </w:tblStylePr>
    <w:tblStylePr w:type="band1Vert">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tblStylePr w:type="band1Horz">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style>
  <w:style w:type="table" w:styleId="ColorfulList-Accent5">
    <w:name w:val="Colorful List Accent 5"/>
    <w:basedOn w:val="TableNormal"/>
    <w:uiPriority w:val="45"/>
    <w:rsid w:val="008F404D"/>
    <w:pPr>
      <w:spacing w:after="0" w:line="240" w:lineRule="auto"/>
    </w:pPr>
    <w:rPr>
      <w:color w:val="000000" w:themeColor="text1"/>
    </w:rPr>
    <w:tblPr>
      <w:tblStyleRowBandSize w:val="1"/>
      <w:tblStyleColBandSize w:val="1"/>
    </w:tblPr>
    <w:tcPr>
      <w:shd w:val="clear" w:color="auto" w:fill="EEF5F7" w:themeFill="accent5" w:themeFillTint="19"/>
    </w:tcPr>
    <w:tblStylePr w:type="firstRow">
      <w:rPr>
        <w:b/>
        <w:bCs/>
        <w:color w:val="FFFFFF" w:themeColor="background1"/>
      </w:rPr>
      <w:tblPr/>
      <w:tcPr>
        <w:tcBorders>
          <w:bottom w:val="single" w:sz="12" w:space="0" w:color="FFFFFF" w:themeColor="background1"/>
        </w:tcBorders>
        <w:shd w:val="clear" w:color="auto" w:fill="7F7082" w:themeFill="accent6" w:themeFillShade="CC"/>
      </w:tcPr>
    </w:tblStylePr>
    <w:tblStylePr w:type="lastRow">
      <w:rPr>
        <w:b/>
        <w:bCs/>
        <w:color w:val="7F70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7EB" w:themeFill="accent5" w:themeFillTint="3F"/>
      </w:tcPr>
    </w:tblStylePr>
    <w:tblStylePr w:type="band1Horz">
      <w:tblPr/>
      <w:tcPr>
        <w:shd w:val="clear" w:color="auto" w:fill="DDECEE" w:themeFill="accent5" w:themeFillTint="33"/>
      </w:tcPr>
    </w:tblStylePr>
  </w:style>
  <w:style w:type="table" w:styleId="LightGrid-Accent4">
    <w:name w:val="Light Grid Accent 4"/>
    <w:basedOn w:val="TableNormal"/>
    <w:uiPriority w:val="44"/>
    <w:rsid w:val="008F404D"/>
    <w:pPr>
      <w:spacing w:after="0" w:line="240" w:lineRule="auto"/>
    </w:pPr>
    <w:tblPr>
      <w:tblStyleRowBandSize w:val="1"/>
      <w:tblStyleColBandSize w:val="1"/>
      <w:tblBorders>
        <w:top w:val="single" w:sz="8" w:space="0" w:color="4A66AC" w:themeColor="accent4"/>
        <w:left w:val="single" w:sz="8" w:space="0" w:color="4A66AC" w:themeColor="accent4"/>
        <w:bottom w:val="single" w:sz="8" w:space="0" w:color="4A66AC" w:themeColor="accent4"/>
        <w:right w:val="single" w:sz="8" w:space="0" w:color="4A66AC" w:themeColor="accent4"/>
        <w:insideH w:val="single" w:sz="8" w:space="0" w:color="4A66AC" w:themeColor="accent4"/>
        <w:insideV w:val="single" w:sz="8" w:space="0" w:color="4A66A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A66AC" w:themeColor="accent4"/>
          <w:left w:val="single" w:sz="8" w:space="0" w:color="4A66AC" w:themeColor="accent4"/>
          <w:bottom w:val="single" w:sz="18" w:space="0" w:color="4A66AC" w:themeColor="accent4"/>
          <w:right w:val="single" w:sz="8" w:space="0" w:color="4A66AC" w:themeColor="accent4"/>
          <w:insideH w:val="nil"/>
          <w:insideV w:val="single" w:sz="8" w:space="0" w:color="4A66A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A66AC" w:themeColor="accent4"/>
          <w:left w:val="single" w:sz="8" w:space="0" w:color="4A66AC" w:themeColor="accent4"/>
          <w:bottom w:val="single" w:sz="8" w:space="0" w:color="4A66AC" w:themeColor="accent4"/>
          <w:right w:val="single" w:sz="8" w:space="0" w:color="4A66AC" w:themeColor="accent4"/>
          <w:insideH w:val="nil"/>
          <w:insideV w:val="single" w:sz="8" w:space="0" w:color="4A66A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A66AC" w:themeColor="accent4"/>
          <w:left w:val="single" w:sz="8" w:space="0" w:color="4A66AC" w:themeColor="accent4"/>
          <w:bottom w:val="single" w:sz="8" w:space="0" w:color="4A66AC" w:themeColor="accent4"/>
          <w:right w:val="single" w:sz="8" w:space="0" w:color="4A66AC" w:themeColor="accent4"/>
        </w:tcBorders>
      </w:tcPr>
    </w:tblStylePr>
    <w:tblStylePr w:type="band1Vert">
      <w:tblPr/>
      <w:tcPr>
        <w:tcBorders>
          <w:top w:val="single" w:sz="8" w:space="0" w:color="4A66AC" w:themeColor="accent4"/>
          <w:left w:val="single" w:sz="8" w:space="0" w:color="4A66AC" w:themeColor="accent4"/>
          <w:bottom w:val="single" w:sz="8" w:space="0" w:color="4A66AC" w:themeColor="accent4"/>
          <w:right w:val="single" w:sz="8" w:space="0" w:color="4A66AC" w:themeColor="accent4"/>
        </w:tcBorders>
        <w:shd w:val="clear" w:color="auto" w:fill="D1D8EB" w:themeFill="accent4" w:themeFillTint="3F"/>
      </w:tcPr>
    </w:tblStylePr>
    <w:tblStylePr w:type="band1Horz">
      <w:tblPr/>
      <w:tcPr>
        <w:tcBorders>
          <w:top w:val="single" w:sz="8" w:space="0" w:color="4A66AC" w:themeColor="accent4"/>
          <w:left w:val="single" w:sz="8" w:space="0" w:color="4A66AC" w:themeColor="accent4"/>
          <w:bottom w:val="single" w:sz="8" w:space="0" w:color="4A66AC" w:themeColor="accent4"/>
          <w:right w:val="single" w:sz="8" w:space="0" w:color="4A66AC" w:themeColor="accent4"/>
          <w:insideV w:val="single" w:sz="8" w:space="0" w:color="4A66AC" w:themeColor="accent4"/>
        </w:tcBorders>
        <w:shd w:val="clear" w:color="auto" w:fill="D1D8EB" w:themeFill="accent4" w:themeFillTint="3F"/>
      </w:tcPr>
    </w:tblStylePr>
    <w:tblStylePr w:type="band2Horz">
      <w:tblPr/>
      <w:tcPr>
        <w:tcBorders>
          <w:top w:val="single" w:sz="8" w:space="0" w:color="4A66AC" w:themeColor="accent4"/>
          <w:left w:val="single" w:sz="8" w:space="0" w:color="4A66AC" w:themeColor="accent4"/>
          <w:bottom w:val="single" w:sz="8" w:space="0" w:color="4A66AC" w:themeColor="accent4"/>
          <w:right w:val="single" w:sz="8" w:space="0" w:color="4A66AC" w:themeColor="accent4"/>
          <w:insideV w:val="single" w:sz="8" w:space="0" w:color="4A66AC"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kern w:val="24"/>
        <w:sz w:val="23"/>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64" w:lineRule="auto"/>
    </w:pPr>
    <w:rPr>
      <w:lang w:eastAsia="ja-JP"/>
    </w:rPr>
  </w:style>
  <w:style w:type="paragraph" w:styleId="Heading1">
    <w:name w:val="heading 1"/>
    <w:basedOn w:val="Normal"/>
    <w:next w:val="Normal"/>
    <w:link w:val="Heading1Char"/>
    <w:uiPriority w:val="9"/>
    <w:unhideWhenUsed/>
    <w:qFormat/>
    <w:pPr>
      <w:spacing w:before="300" w:after="80" w:line="240" w:lineRule="auto"/>
      <w:outlineLvl w:val="0"/>
    </w:pPr>
    <w:rPr>
      <w:rFonts w:asciiTheme="majorHAnsi" w:hAnsiTheme="majorHAnsi"/>
      <w:caps/>
      <w:color w:val="242852" w:themeColor="text2"/>
      <w:sz w:val="32"/>
      <w:szCs w:val="32"/>
    </w:rPr>
  </w:style>
  <w:style w:type="paragraph" w:styleId="Heading2">
    <w:name w:val="heading 2"/>
    <w:basedOn w:val="Normal"/>
    <w:next w:val="Normal"/>
    <w:link w:val="Heading2Char"/>
    <w:uiPriority w:val="9"/>
    <w:unhideWhenUsed/>
    <w:qFormat/>
    <w:pPr>
      <w:spacing w:before="240" w:after="80"/>
      <w:outlineLvl w:val="1"/>
    </w:pPr>
    <w:rPr>
      <w:b/>
      <w:color w:val="629DD1" w:themeColor="accent1"/>
      <w:spacing w:val="20"/>
      <w:sz w:val="28"/>
      <w:szCs w:val="28"/>
    </w:rPr>
  </w:style>
  <w:style w:type="paragraph" w:styleId="Heading3">
    <w:name w:val="heading 3"/>
    <w:basedOn w:val="Normal"/>
    <w:next w:val="Normal"/>
    <w:link w:val="Heading3Char"/>
    <w:uiPriority w:val="9"/>
    <w:unhideWhenUsed/>
    <w:qFormat/>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unhideWhenUsed/>
    <w:qFormat/>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qFormat/>
    <w:pPr>
      <w:spacing w:before="200" w:after="0"/>
      <w:outlineLvl w:val="4"/>
    </w:pPr>
    <w:rPr>
      <w:b/>
      <w:color w:val="242852" w:themeColor="text2"/>
      <w:spacing w:val="10"/>
      <w:szCs w:val="26"/>
    </w:rPr>
  </w:style>
  <w:style w:type="paragraph" w:styleId="Heading6">
    <w:name w:val="heading 6"/>
    <w:basedOn w:val="Normal"/>
    <w:next w:val="Normal"/>
    <w:link w:val="Heading6Char"/>
    <w:uiPriority w:val="9"/>
    <w:semiHidden/>
    <w:unhideWhenUsed/>
    <w:qFormat/>
    <w:pPr>
      <w:spacing w:after="0"/>
      <w:outlineLvl w:val="5"/>
    </w:pPr>
    <w:rPr>
      <w:b/>
      <w:color w:val="297FD5"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629DD1" w:themeColor="accent1"/>
      <w:spacing w:val="10"/>
      <w:sz w:val="24"/>
    </w:rPr>
  </w:style>
  <w:style w:type="paragraph" w:styleId="Heading9">
    <w:name w:val="heading 9"/>
    <w:basedOn w:val="Normal"/>
    <w:next w:val="Normal"/>
    <w:link w:val="Heading9Char"/>
    <w:uiPriority w:val="9"/>
    <w:semiHidden/>
    <w:unhideWhenUsed/>
    <w:qFormat/>
    <w:pPr>
      <w:spacing w:after="0"/>
      <w:outlineLvl w:val="8"/>
    </w:pPr>
    <w:rPr>
      <w:b/>
      <w:caps/>
      <w:color w:val="7F8FA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s="Times New Roman"/>
      <w:caps/>
      <w:color w:val="242852" w:themeColor="text2"/>
      <w:sz w:val="32"/>
      <w:szCs w:val="32"/>
      <w:lang w:eastAsia="ja-JP"/>
    </w:rPr>
  </w:style>
  <w:style w:type="character" w:customStyle="1" w:styleId="Heading2Char">
    <w:name w:val="Heading 2 Char"/>
    <w:basedOn w:val="DefaultParagraphFont"/>
    <w:link w:val="Heading2"/>
    <w:uiPriority w:val="9"/>
    <w:rPr>
      <w:rFonts w:cs="Times New Roman"/>
      <w:b/>
      <w:color w:val="629DD1" w:themeColor="accent1"/>
      <w:spacing w:val="20"/>
      <w:sz w:val="28"/>
      <w:szCs w:val="28"/>
      <w:lang w:eastAsia="ja-JP"/>
    </w:rPr>
  </w:style>
  <w:style w:type="character" w:customStyle="1" w:styleId="Heading3Char">
    <w:name w:val="Heading 3 Char"/>
    <w:basedOn w:val="DefaultParagraphFont"/>
    <w:link w:val="Heading3"/>
    <w:uiPriority w:val="9"/>
    <w:rPr>
      <w:rFonts w:cs="Times New Roman"/>
      <w:b/>
      <w:color w:val="000000" w:themeColor="text1"/>
      <w:spacing w:val="10"/>
      <w:sz w:val="23"/>
      <w:szCs w:val="24"/>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pPr>
      <w:pBdr>
        <w:top w:val="double" w:sz="12" w:space="10" w:color="297FD5" w:themeColor="accent2"/>
        <w:left w:val="double" w:sz="12" w:space="10" w:color="297FD5" w:themeColor="accent2"/>
        <w:bottom w:val="double" w:sz="12" w:space="10" w:color="297FD5" w:themeColor="accent2"/>
        <w:right w:val="double" w:sz="12" w:space="10" w:color="297FD5" w:themeColor="accent2"/>
      </w:pBdr>
      <w:shd w:val="clear" w:color="auto" w:fill="FFFFFF" w:themeFill="background1"/>
      <w:spacing w:before="300" w:after="300"/>
      <w:ind w:left="720" w:right="720"/>
      <w:contextualSpacing/>
    </w:pPr>
    <w:rPr>
      <w:b/>
      <w:color w:val="297FD5" w:themeColor="accent2"/>
    </w:rPr>
  </w:style>
  <w:style w:type="character" w:customStyle="1" w:styleId="IntenseQuoteChar">
    <w:name w:val="Intense Quote Char"/>
    <w:basedOn w:val="DefaultParagraphFont"/>
    <w:link w:val="IntenseQuote"/>
    <w:uiPriority w:val="30"/>
    <w:rPr>
      <w:rFonts w:cs="Times New Roman"/>
      <w:b/>
      <w:color w:val="297FD5" w:themeColor="accent2"/>
      <w:sz w:val="23"/>
      <w:szCs w:val="20"/>
      <w:shd w:val="clear" w:color="auto" w:fill="FFFFFF" w:themeFill="background1"/>
      <w:lang w:eastAsia="ja-JP"/>
    </w:rPr>
  </w:style>
  <w:style w:type="paragraph" w:styleId="Subtitle">
    <w:name w:val="Subtitle"/>
    <w:basedOn w:val="Normal"/>
    <w:link w:val="SubtitleChar"/>
    <w:uiPriority w:val="11"/>
    <w:qFormat/>
    <w:pPr>
      <w:spacing w:after="720" w:line="240" w:lineRule="auto"/>
    </w:pPr>
    <w:rPr>
      <w:rFonts w:asciiTheme="majorHAnsi" w:hAnsiTheme="majorHAnsi"/>
      <w:b/>
      <w:caps/>
      <w:color w:val="297FD5" w:themeColor="accent2"/>
      <w:spacing w:val="50"/>
      <w:sz w:val="24"/>
      <w:szCs w:val="22"/>
    </w:rPr>
  </w:style>
  <w:style w:type="character" w:customStyle="1" w:styleId="SubtitleChar">
    <w:name w:val="Subtitle Char"/>
    <w:basedOn w:val="DefaultParagraphFont"/>
    <w:link w:val="Subtitle"/>
    <w:uiPriority w:val="11"/>
    <w:rPr>
      <w:rFonts w:asciiTheme="majorHAnsi" w:hAnsiTheme="majorHAnsi" w:cs="Times New Roman"/>
      <w:b/>
      <w:caps/>
      <w:color w:val="297FD5" w:themeColor="accent2"/>
      <w:spacing w:val="50"/>
      <w:sz w:val="24"/>
      <w:lang w:eastAsia="ja-JP"/>
    </w:rPr>
  </w:style>
  <w:style w:type="paragraph" w:styleId="Title">
    <w:name w:val="Title"/>
    <w:basedOn w:val="Normal"/>
    <w:link w:val="TitleChar"/>
    <w:uiPriority w:val="10"/>
    <w:qFormat/>
    <w:pPr>
      <w:spacing w:after="0" w:line="240" w:lineRule="auto"/>
    </w:pPr>
    <w:rPr>
      <w:color w:val="242852" w:themeColor="text2"/>
      <w:sz w:val="72"/>
      <w:szCs w:val="48"/>
    </w:rPr>
  </w:style>
  <w:style w:type="character" w:customStyle="1" w:styleId="TitleChar">
    <w:name w:val="Title Char"/>
    <w:basedOn w:val="DefaultParagraphFont"/>
    <w:link w:val="Title"/>
    <w:uiPriority w:val="10"/>
    <w:rPr>
      <w:rFonts w:cs="Times New Roman"/>
      <w:color w:val="242852" w:themeColor="text2"/>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242852" w:themeColor="text2"/>
      <w:sz w:val="23"/>
      <w:szCs w:val="20"/>
    </w:rPr>
  </w:style>
  <w:style w:type="paragraph" w:styleId="Caption">
    <w:name w:val="caption"/>
    <w:basedOn w:val="Normal"/>
    <w:next w:val="Normal"/>
    <w:uiPriority w:val="35"/>
    <w:unhideWhenUsed/>
    <w:rPr>
      <w:b/>
      <w:bCs/>
      <w:caps/>
      <w:sz w:val="16"/>
      <w:szCs w:val="18"/>
    </w:rPr>
  </w:style>
  <w:style w:type="character" w:styleId="Emphasis">
    <w:name w:val="Emphasis"/>
    <w:uiPriority w:val="20"/>
    <w:qFormat/>
    <w:rPr>
      <w:rFonts w:asciiTheme="minorHAnsi" w:hAnsiTheme="minorHAnsi"/>
      <w:b/>
      <w:i/>
      <w:color w:val="242852" w:themeColor="text2"/>
      <w:spacing w:val="10"/>
      <w:sz w:val="23"/>
    </w:rPr>
  </w:style>
  <w:style w:type="character" w:customStyle="1" w:styleId="Heading4Char">
    <w:name w:val="Heading 4 Char"/>
    <w:basedOn w:val="DefaultParagraphFont"/>
    <w:link w:val="Heading4"/>
    <w:uiPriority w:val="9"/>
    <w:rPr>
      <w:rFonts w:cs="Times New Roman"/>
      <w:caps/>
      <w:spacing w:val="14"/>
      <w:lang w:eastAsia="ja-JP"/>
    </w:rPr>
  </w:style>
  <w:style w:type="character" w:customStyle="1" w:styleId="Heading5Char">
    <w:name w:val="Heading 5 Char"/>
    <w:basedOn w:val="DefaultParagraphFont"/>
    <w:link w:val="Heading5"/>
    <w:uiPriority w:val="9"/>
    <w:semiHidden/>
    <w:rPr>
      <w:rFonts w:cs="Times New Roman"/>
      <w:b/>
      <w:color w:val="242852"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297FD5"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629DD1"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7F8FA9" w:themeColor="accent3"/>
      <w:spacing w:val="40"/>
      <w:sz w:val="20"/>
      <w:szCs w:val="20"/>
      <w:lang w:eastAsia="ja-JP"/>
    </w:rPr>
  </w:style>
  <w:style w:type="character" w:styleId="Hyperlink">
    <w:name w:val="Hyperlink"/>
    <w:basedOn w:val="DefaultParagraphFont"/>
    <w:uiPriority w:val="99"/>
    <w:unhideWhenUsed/>
    <w:rPr>
      <w:color w:val="9454C3" w:themeColor="hyperlink"/>
      <w:u w:val="single"/>
    </w:rPr>
  </w:style>
  <w:style w:type="character" w:styleId="IntenseEmphasis">
    <w:name w:val="Intense Emphasis"/>
    <w:basedOn w:val="DefaultParagraphFont"/>
    <w:uiPriority w:val="21"/>
    <w:qFormat/>
    <w:rPr>
      <w:rFonts w:asciiTheme="minorHAnsi" w:hAnsiTheme="minorHAnsi"/>
      <w:b/>
      <w:dstrike w:val="0"/>
      <w:color w:val="297FD5"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629DD1" w:themeColor="accent1"/>
      <w:spacing w:val="10"/>
      <w:w w:val="100"/>
      <w:position w:val="0"/>
      <w:sz w:val="20"/>
      <w:szCs w:val="18"/>
      <w:u w:val="single" w:color="629DD1"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qFormat/>
    <w:pPr>
      <w:numPr>
        <w:numId w:val="18"/>
      </w:numPr>
    </w:pPr>
    <w:rPr>
      <w:sz w:val="24"/>
    </w:rPr>
  </w:style>
  <w:style w:type="paragraph" w:styleId="ListBullet2">
    <w:name w:val="List Bullet 2"/>
    <w:basedOn w:val="Normal"/>
    <w:uiPriority w:val="36"/>
    <w:unhideWhenUsed/>
    <w:qFormat/>
    <w:pPr>
      <w:numPr>
        <w:numId w:val="19"/>
      </w:numPr>
    </w:pPr>
    <w:rPr>
      <w:color w:val="629DD1" w:themeColor="accent1"/>
    </w:rPr>
  </w:style>
  <w:style w:type="paragraph" w:styleId="ListBullet3">
    <w:name w:val="List Bullet 3"/>
    <w:basedOn w:val="Normal"/>
    <w:uiPriority w:val="36"/>
    <w:unhideWhenUsed/>
    <w:qFormat/>
    <w:pPr>
      <w:numPr>
        <w:numId w:val="20"/>
      </w:numPr>
    </w:pPr>
    <w:rPr>
      <w:color w:val="297FD5" w:themeColor="accent2"/>
    </w:rPr>
  </w:style>
  <w:style w:type="paragraph" w:styleId="ListBullet4">
    <w:name w:val="List Bullet 4"/>
    <w:basedOn w:val="Normal"/>
    <w:uiPriority w:val="36"/>
    <w:unhideWhenUsed/>
    <w:qFormat/>
    <w:pPr>
      <w:numPr>
        <w:numId w:val="21"/>
      </w:numPr>
    </w:pPr>
    <w:rPr>
      <w:caps/>
      <w:spacing w:val="4"/>
    </w:rPr>
  </w:style>
  <w:style w:type="paragraph" w:styleId="ListBullet5">
    <w:name w:val="List Bullet 5"/>
    <w:basedOn w:val="Normal"/>
    <w:uiPriority w:val="36"/>
    <w:unhideWhenUsed/>
    <w:qFormat/>
    <w:pPr>
      <w:numPr>
        <w:numId w:val="22"/>
      </w:numPr>
    </w:pPr>
  </w:style>
  <w:style w:type="paragraph" w:styleId="ListParagraph">
    <w:name w:val="List Paragraph"/>
    <w:basedOn w:val="Normal"/>
    <w:uiPriority w:val="34"/>
    <w:unhideWhenUsed/>
    <w:qFormat/>
    <w:pPr>
      <w:ind w:left="720"/>
      <w:contextualSpacing/>
    </w:pPr>
  </w:style>
  <w:style w:type="numbering" w:customStyle="1" w:styleId="MedianListStyle">
    <w:name w:val="Median List Style"/>
    <w:uiPriority w:val="99"/>
    <w:pPr>
      <w:numPr>
        <w:numId w:val="11"/>
      </w:numPr>
    </w:pPr>
  </w:style>
  <w:style w:type="paragraph" w:styleId="NoSpacing">
    <w:name w:val="No Spacing"/>
    <w:basedOn w:val="Normal"/>
    <w:uiPriority w:val="99"/>
    <w:qFormat/>
    <w:pPr>
      <w:spacing w:after="0" w:line="240" w:lineRule="auto"/>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Pr>
      <w:i/>
      <w:smallCaps/>
      <w:color w:val="242852" w:themeColor="text2"/>
      <w:spacing w:val="6"/>
    </w:rPr>
  </w:style>
  <w:style w:type="character" w:customStyle="1" w:styleId="QuoteChar">
    <w:name w:val="Quote Char"/>
    <w:basedOn w:val="DefaultParagraphFont"/>
    <w:link w:val="Quote"/>
    <w:uiPriority w:val="29"/>
    <w:rPr>
      <w:rFonts w:cs="Times New Roman"/>
      <w:i/>
      <w:smallCaps/>
      <w:color w:val="242852" w:themeColor="text2"/>
      <w:spacing w:val="6"/>
      <w:sz w:val="23"/>
      <w:szCs w:val="20"/>
      <w:lang w:eastAsia="ja-JP"/>
    </w:rPr>
  </w:style>
  <w:style w:type="character" w:styleId="Strong">
    <w:name w:val="Strong"/>
    <w:uiPriority w:val="22"/>
    <w:qFormat/>
    <w:rPr>
      <w:rFonts w:asciiTheme="minorHAnsi" w:hAnsiTheme="minorHAnsi"/>
      <w:b/>
      <w:color w:val="297FD5"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242852" w:themeColor="text2"/>
      <w:sz w:val="23"/>
    </w:rPr>
  </w:style>
  <w:style w:type="table" w:styleId="TableGrid">
    <w:name w:val="Table Grid"/>
    <w:basedOn w:val="TableNormal"/>
    <w:uiPriority w:val="1"/>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42852"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Category">
    <w:name w:val="Category"/>
    <w:basedOn w:val="Normal"/>
    <w:uiPriority w:val="49"/>
    <w:pPr>
      <w:spacing w:after="0"/>
    </w:pPr>
    <w:rPr>
      <w:b/>
      <w:sz w:val="24"/>
      <w:szCs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qFormat/>
    <w:pPr>
      <w:pBdr>
        <w:top w:val="single" w:sz="4" w:space="1" w:color="629DD1" w:themeColor="accent1"/>
      </w:pBdr>
    </w:pPr>
    <w:rPr>
      <w:color w:val="242852" w:themeColor="text2"/>
      <w:sz w:val="20"/>
    </w:rPr>
  </w:style>
  <w:style w:type="paragraph" w:customStyle="1" w:styleId="FooterOdd">
    <w:name w:val="Footer Odd"/>
    <w:basedOn w:val="Normal"/>
    <w:unhideWhenUsed/>
    <w:qFormat/>
    <w:pPr>
      <w:pBdr>
        <w:top w:val="single" w:sz="4" w:space="1" w:color="629DD1" w:themeColor="accent1"/>
      </w:pBdr>
      <w:jc w:val="right"/>
    </w:pPr>
    <w:rPr>
      <w:color w:val="242852" w:themeColor="text2"/>
      <w:sz w:val="20"/>
    </w:rPr>
  </w:style>
  <w:style w:type="paragraph" w:customStyle="1" w:styleId="HeaderEven">
    <w:name w:val="Header Even"/>
    <w:basedOn w:val="Normal"/>
    <w:unhideWhenUsed/>
    <w:qFormat/>
    <w:pPr>
      <w:pBdr>
        <w:bottom w:val="single" w:sz="4" w:space="1" w:color="629DD1" w:themeColor="accent1"/>
      </w:pBdr>
      <w:spacing w:after="0" w:line="240" w:lineRule="auto"/>
    </w:pPr>
    <w:rPr>
      <w:rFonts w:eastAsia="Times New Roman"/>
      <w:b/>
      <w:color w:val="242852" w:themeColor="text2"/>
      <w:sz w:val="20"/>
      <w:szCs w:val="24"/>
      <w:lang w:eastAsia="ko-KR"/>
    </w:rPr>
  </w:style>
  <w:style w:type="paragraph" w:customStyle="1" w:styleId="HeaderOdd">
    <w:name w:val="Header Odd"/>
    <w:basedOn w:val="Normal"/>
    <w:unhideWhenUsed/>
    <w:qFormat/>
    <w:pPr>
      <w:pBdr>
        <w:bottom w:val="single" w:sz="4" w:space="1" w:color="629DD1" w:themeColor="accent1"/>
      </w:pBdr>
      <w:spacing w:after="0" w:line="240" w:lineRule="auto"/>
      <w:jc w:val="right"/>
    </w:pPr>
    <w:rPr>
      <w:rFonts w:eastAsia="Times New Roman"/>
      <w:b/>
      <w:color w:val="242852" w:themeColor="text2"/>
      <w:sz w:val="20"/>
      <w:szCs w:val="24"/>
      <w:lang w:eastAsia="ko-KR"/>
    </w:rPr>
  </w:style>
  <w:style w:type="paragraph" w:customStyle="1" w:styleId="NoSpacing0">
    <w:name w:val="NoSpacing"/>
    <w:basedOn w:val="Normal"/>
    <w:qFormat/>
    <w:pPr>
      <w:framePr w:wrap="auto" w:hAnchor="page" w:xAlign="center" w:yAlign="top"/>
      <w:spacing w:after="0" w:line="240" w:lineRule="auto"/>
      <w:suppressOverlap/>
    </w:pPr>
    <w:rPr>
      <w:szCs w:val="120"/>
    </w:rPr>
  </w:style>
  <w:style w:type="table" w:styleId="LightList-Accent2">
    <w:name w:val="Light List Accent 2"/>
    <w:basedOn w:val="TableNormal"/>
    <w:uiPriority w:val="42"/>
    <w:rsid w:val="008F404D"/>
    <w:pPr>
      <w:spacing w:after="0" w:line="240" w:lineRule="auto"/>
    </w:pPr>
    <w:tblPr>
      <w:tblStyleRowBandSize w:val="1"/>
      <w:tblStyleColBandSize w:val="1"/>
      <w:tblBorders>
        <w:top w:val="single" w:sz="8" w:space="0" w:color="297FD5" w:themeColor="accent2"/>
        <w:left w:val="single" w:sz="8" w:space="0" w:color="297FD5" w:themeColor="accent2"/>
        <w:bottom w:val="single" w:sz="8" w:space="0" w:color="297FD5" w:themeColor="accent2"/>
        <w:right w:val="single" w:sz="8" w:space="0" w:color="297FD5" w:themeColor="accent2"/>
      </w:tblBorders>
    </w:tblPr>
    <w:tblStylePr w:type="firstRow">
      <w:pPr>
        <w:spacing w:before="0" w:after="0" w:line="240" w:lineRule="auto"/>
      </w:pPr>
      <w:rPr>
        <w:b/>
        <w:bCs/>
        <w:color w:val="FFFFFF" w:themeColor="background1"/>
      </w:rPr>
      <w:tblPr/>
      <w:tcPr>
        <w:shd w:val="clear" w:color="auto" w:fill="297FD5" w:themeFill="accent2"/>
      </w:tcPr>
    </w:tblStylePr>
    <w:tblStylePr w:type="lastRow">
      <w:pPr>
        <w:spacing w:before="0" w:after="0" w:line="240" w:lineRule="auto"/>
      </w:pPr>
      <w:rPr>
        <w:b/>
        <w:bCs/>
      </w:rPr>
      <w:tblPr/>
      <w:tcPr>
        <w:tcBorders>
          <w:top w:val="double" w:sz="6" w:space="0" w:color="297FD5" w:themeColor="accent2"/>
          <w:left w:val="single" w:sz="8" w:space="0" w:color="297FD5" w:themeColor="accent2"/>
          <w:bottom w:val="single" w:sz="8" w:space="0" w:color="297FD5" w:themeColor="accent2"/>
          <w:right w:val="single" w:sz="8" w:space="0" w:color="297FD5" w:themeColor="accent2"/>
        </w:tcBorders>
      </w:tcPr>
    </w:tblStylePr>
    <w:tblStylePr w:type="firstCol">
      <w:rPr>
        <w:b/>
        <w:bCs/>
      </w:rPr>
    </w:tblStylePr>
    <w:tblStylePr w:type="lastCol">
      <w:rPr>
        <w:b/>
        <w:bCs/>
      </w:rPr>
    </w:tblStylePr>
    <w:tblStylePr w:type="band1Vert">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tblStylePr w:type="band1Horz">
      <w:tblPr/>
      <w:tcPr>
        <w:tcBorders>
          <w:top w:val="single" w:sz="8" w:space="0" w:color="297FD5" w:themeColor="accent2"/>
          <w:left w:val="single" w:sz="8" w:space="0" w:color="297FD5" w:themeColor="accent2"/>
          <w:bottom w:val="single" w:sz="8" w:space="0" w:color="297FD5" w:themeColor="accent2"/>
          <w:right w:val="single" w:sz="8" w:space="0" w:color="297FD5" w:themeColor="accent2"/>
        </w:tcBorders>
      </w:tcPr>
    </w:tblStylePr>
  </w:style>
  <w:style w:type="table" w:styleId="ColorfulList-Accent5">
    <w:name w:val="Colorful List Accent 5"/>
    <w:basedOn w:val="TableNormal"/>
    <w:uiPriority w:val="45"/>
    <w:rsid w:val="008F404D"/>
    <w:pPr>
      <w:spacing w:after="0" w:line="240" w:lineRule="auto"/>
    </w:pPr>
    <w:rPr>
      <w:color w:val="000000" w:themeColor="text1"/>
    </w:rPr>
    <w:tblPr>
      <w:tblStyleRowBandSize w:val="1"/>
      <w:tblStyleColBandSize w:val="1"/>
    </w:tblPr>
    <w:tcPr>
      <w:shd w:val="clear" w:color="auto" w:fill="EEF5F7" w:themeFill="accent5" w:themeFillTint="19"/>
    </w:tcPr>
    <w:tblStylePr w:type="firstRow">
      <w:rPr>
        <w:b/>
        <w:bCs/>
        <w:color w:val="FFFFFF" w:themeColor="background1"/>
      </w:rPr>
      <w:tblPr/>
      <w:tcPr>
        <w:tcBorders>
          <w:bottom w:val="single" w:sz="12" w:space="0" w:color="FFFFFF" w:themeColor="background1"/>
        </w:tcBorders>
        <w:shd w:val="clear" w:color="auto" w:fill="7F7082" w:themeFill="accent6" w:themeFillShade="CC"/>
      </w:tcPr>
    </w:tblStylePr>
    <w:tblStylePr w:type="lastRow">
      <w:rPr>
        <w:b/>
        <w:bCs/>
        <w:color w:val="7F70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7EB" w:themeFill="accent5" w:themeFillTint="3F"/>
      </w:tcPr>
    </w:tblStylePr>
    <w:tblStylePr w:type="band1Horz">
      <w:tblPr/>
      <w:tcPr>
        <w:shd w:val="clear" w:color="auto" w:fill="DDECEE" w:themeFill="accent5" w:themeFillTint="33"/>
      </w:tcPr>
    </w:tblStylePr>
  </w:style>
  <w:style w:type="table" w:styleId="LightGrid-Accent4">
    <w:name w:val="Light Grid Accent 4"/>
    <w:basedOn w:val="TableNormal"/>
    <w:uiPriority w:val="44"/>
    <w:rsid w:val="008F404D"/>
    <w:pPr>
      <w:spacing w:after="0" w:line="240" w:lineRule="auto"/>
    </w:pPr>
    <w:tblPr>
      <w:tblStyleRowBandSize w:val="1"/>
      <w:tblStyleColBandSize w:val="1"/>
      <w:tblBorders>
        <w:top w:val="single" w:sz="8" w:space="0" w:color="4A66AC" w:themeColor="accent4"/>
        <w:left w:val="single" w:sz="8" w:space="0" w:color="4A66AC" w:themeColor="accent4"/>
        <w:bottom w:val="single" w:sz="8" w:space="0" w:color="4A66AC" w:themeColor="accent4"/>
        <w:right w:val="single" w:sz="8" w:space="0" w:color="4A66AC" w:themeColor="accent4"/>
        <w:insideH w:val="single" w:sz="8" w:space="0" w:color="4A66AC" w:themeColor="accent4"/>
        <w:insideV w:val="single" w:sz="8" w:space="0" w:color="4A66A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A66AC" w:themeColor="accent4"/>
          <w:left w:val="single" w:sz="8" w:space="0" w:color="4A66AC" w:themeColor="accent4"/>
          <w:bottom w:val="single" w:sz="18" w:space="0" w:color="4A66AC" w:themeColor="accent4"/>
          <w:right w:val="single" w:sz="8" w:space="0" w:color="4A66AC" w:themeColor="accent4"/>
          <w:insideH w:val="nil"/>
          <w:insideV w:val="single" w:sz="8" w:space="0" w:color="4A66A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A66AC" w:themeColor="accent4"/>
          <w:left w:val="single" w:sz="8" w:space="0" w:color="4A66AC" w:themeColor="accent4"/>
          <w:bottom w:val="single" w:sz="8" w:space="0" w:color="4A66AC" w:themeColor="accent4"/>
          <w:right w:val="single" w:sz="8" w:space="0" w:color="4A66AC" w:themeColor="accent4"/>
          <w:insideH w:val="nil"/>
          <w:insideV w:val="single" w:sz="8" w:space="0" w:color="4A66A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A66AC" w:themeColor="accent4"/>
          <w:left w:val="single" w:sz="8" w:space="0" w:color="4A66AC" w:themeColor="accent4"/>
          <w:bottom w:val="single" w:sz="8" w:space="0" w:color="4A66AC" w:themeColor="accent4"/>
          <w:right w:val="single" w:sz="8" w:space="0" w:color="4A66AC" w:themeColor="accent4"/>
        </w:tcBorders>
      </w:tcPr>
    </w:tblStylePr>
    <w:tblStylePr w:type="band1Vert">
      <w:tblPr/>
      <w:tcPr>
        <w:tcBorders>
          <w:top w:val="single" w:sz="8" w:space="0" w:color="4A66AC" w:themeColor="accent4"/>
          <w:left w:val="single" w:sz="8" w:space="0" w:color="4A66AC" w:themeColor="accent4"/>
          <w:bottom w:val="single" w:sz="8" w:space="0" w:color="4A66AC" w:themeColor="accent4"/>
          <w:right w:val="single" w:sz="8" w:space="0" w:color="4A66AC" w:themeColor="accent4"/>
        </w:tcBorders>
        <w:shd w:val="clear" w:color="auto" w:fill="D1D8EB" w:themeFill="accent4" w:themeFillTint="3F"/>
      </w:tcPr>
    </w:tblStylePr>
    <w:tblStylePr w:type="band1Horz">
      <w:tblPr/>
      <w:tcPr>
        <w:tcBorders>
          <w:top w:val="single" w:sz="8" w:space="0" w:color="4A66AC" w:themeColor="accent4"/>
          <w:left w:val="single" w:sz="8" w:space="0" w:color="4A66AC" w:themeColor="accent4"/>
          <w:bottom w:val="single" w:sz="8" w:space="0" w:color="4A66AC" w:themeColor="accent4"/>
          <w:right w:val="single" w:sz="8" w:space="0" w:color="4A66AC" w:themeColor="accent4"/>
          <w:insideV w:val="single" w:sz="8" w:space="0" w:color="4A66AC" w:themeColor="accent4"/>
        </w:tcBorders>
        <w:shd w:val="clear" w:color="auto" w:fill="D1D8EB" w:themeFill="accent4" w:themeFillTint="3F"/>
      </w:tcPr>
    </w:tblStylePr>
    <w:tblStylePr w:type="band2Horz">
      <w:tblPr/>
      <w:tcPr>
        <w:tcBorders>
          <w:top w:val="single" w:sz="8" w:space="0" w:color="4A66AC" w:themeColor="accent4"/>
          <w:left w:val="single" w:sz="8" w:space="0" w:color="4A66AC" w:themeColor="accent4"/>
          <w:bottom w:val="single" w:sz="8" w:space="0" w:color="4A66AC" w:themeColor="accent4"/>
          <w:right w:val="single" w:sz="8" w:space="0" w:color="4A66AC" w:themeColor="accent4"/>
          <w:insideV w:val="single" w:sz="8" w:space="0" w:color="4A66AC"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0187">
      <w:bodyDiv w:val="1"/>
      <w:marLeft w:val="0"/>
      <w:marRight w:val="0"/>
      <w:marTop w:val="0"/>
      <w:marBottom w:val="0"/>
      <w:divBdr>
        <w:top w:val="none" w:sz="0" w:space="0" w:color="auto"/>
        <w:left w:val="none" w:sz="0" w:space="0" w:color="auto"/>
        <w:bottom w:val="none" w:sz="0" w:space="0" w:color="auto"/>
        <w:right w:val="none" w:sz="0" w:space="0" w:color="auto"/>
      </w:divBdr>
    </w:div>
    <w:div w:id="182165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mailto:oneilg@msu.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asherjer@msu.ed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gi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akguber@msu.edu"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emiah\AppData\Roaming\Microsoft\Templates\Median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06913D290354EE8AF532E12D55F1794"/>
        <w:category>
          <w:name w:val="General"/>
          <w:gallery w:val="placeholder"/>
        </w:category>
        <w:types>
          <w:type w:val="bbPlcHdr"/>
        </w:types>
        <w:behaviors>
          <w:behavior w:val="content"/>
        </w:behaviors>
        <w:guid w:val="{2313A59C-8EA6-4AC2-AC2B-F5392B74795C}"/>
      </w:docPartPr>
      <w:docPartBody>
        <w:p w:rsidR="000B004E" w:rsidRDefault="00EC44C4">
          <w:pPr>
            <w:pStyle w:val="F06913D290354EE8AF532E12D55F1794"/>
          </w:pPr>
          <w:r>
            <w:rPr>
              <w:rFonts w:asciiTheme="majorHAnsi" w:eastAsiaTheme="majorEastAsia" w:hAnsiTheme="majorHAnsi" w:cstheme="majorBidi"/>
              <w:caps/>
              <w:color w:val="1F497D" w:themeColor="text2"/>
              <w:sz w:val="110"/>
              <w:szCs w:val="110"/>
            </w:rPr>
            <w:t>[Type the document title]</w:t>
          </w:r>
        </w:p>
      </w:docPartBody>
    </w:docPart>
    <w:docPart>
      <w:docPartPr>
        <w:name w:val="65E474D9666141A1AE318EE43E05DDC3"/>
        <w:category>
          <w:name w:val="General"/>
          <w:gallery w:val="placeholder"/>
        </w:category>
        <w:types>
          <w:type w:val="bbPlcHdr"/>
        </w:types>
        <w:behaviors>
          <w:behavior w:val="content"/>
        </w:behaviors>
        <w:guid w:val="{C28B97CD-656B-4F5C-B8E4-C166DB533770}"/>
      </w:docPartPr>
      <w:docPartBody>
        <w:p w:rsidR="000B004E" w:rsidRDefault="00EC44C4">
          <w:pPr>
            <w:pStyle w:val="65E474D9666141A1AE318EE43E05DDC3"/>
          </w:pPr>
          <w:r>
            <w:rPr>
              <w:color w:val="FFFFFF" w:themeColor="background1"/>
              <w:sz w:val="32"/>
              <w:szCs w:val="32"/>
            </w:rPr>
            <w:t>[Pick the date]</w:t>
          </w:r>
        </w:p>
      </w:docPartBody>
    </w:docPart>
    <w:docPart>
      <w:docPartPr>
        <w:name w:val="CE0D2AC05AA742EFBDBC05A326A1A166"/>
        <w:category>
          <w:name w:val="General"/>
          <w:gallery w:val="placeholder"/>
        </w:category>
        <w:types>
          <w:type w:val="bbPlcHdr"/>
        </w:types>
        <w:behaviors>
          <w:behavior w:val="content"/>
        </w:behaviors>
        <w:guid w:val="{FF9B5919-A1E3-4BFC-B5AE-5578E049793D}"/>
      </w:docPartPr>
      <w:docPartBody>
        <w:p w:rsidR="000B004E" w:rsidRDefault="00EC44C4">
          <w:pPr>
            <w:pStyle w:val="CE0D2AC05AA742EFBDBC05A326A1A166"/>
          </w:pPr>
          <w:r>
            <w:rPr>
              <w:color w:val="FFFFFF" w:themeColor="background1"/>
              <w:sz w:val="40"/>
              <w:szCs w:val="40"/>
            </w:rPr>
            <w:t>[Type the document subtitle]</w:t>
          </w:r>
        </w:p>
      </w:docPartBody>
    </w:docPart>
    <w:docPart>
      <w:docPartPr>
        <w:name w:val="AAEBFE8F2E34401AB7F63FFABFB23951"/>
        <w:category>
          <w:name w:val="General"/>
          <w:gallery w:val="placeholder"/>
        </w:category>
        <w:types>
          <w:type w:val="bbPlcHdr"/>
        </w:types>
        <w:behaviors>
          <w:behavior w:val="content"/>
        </w:behaviors>
        <w:guid w:val="{BA239C10-8A59-43CD-AD45-C0FBCDA1E2F7}"/>
      </w:docPartPr>
      <w:docPartBody>
        <w:p w:rsidR="000B004E" w:rsidRDefault="00EC44C4">
          <w:pPr>
            <w:pStyle w:val="AAEBFE8F2E34401AB7F63FFABFB23951"/>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6AC7FDFB" w:usb2="00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4C4"/>
    <w:rsid w:val="000B004E"/>
    <w:rsid w:val="00A16141"/>
    <w:rsid w:val="00EC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unhideWhenUsed/>
    <w:qFormat/>
    <w:pPr>
      <w:spacing w:before="300" w:after="80" w:line="240" w:lineRule="auto"/>
      <w:outlineLvl w:val="0"/>
    </w:pPr>
    <w:rPr>
      <w:rFonts w:asciiTheme="majorHAnsi" w:eastAsiaTheme="minorHAnsi" w:hAnsiTheme="majorHAnsi" w:cs="Times New Roman"/>
      <w:caps/>
      <w:color w:val="1F497D" w:themeColor="text2"/>
      <w:kern w:val="24"/>
      <w:sz w:val="32"/>
      <w:szCs w:val="32"/>
      <w:lang w:eastAsia="ja-JP"/>
    </w:rPr>
  </w:style>
  <w:style w:type="paragraph" w:styleId="Heading2">
    <w:name w:val="heading 2"/>
    <w:basedOn w:val="Normal"/>
    <w:next w:val="Normal"/>
    <w:link w:val="Heading2Char"/>
    <w:uiPriority w:val="9"/>
    <w:unhideWhenUsed/>
    <w:qFormat/>
    <w:pPr>
      <w:spacing w:before="240" w:after="80" w:line="264" w:lineRule="auto"/>
      <w:outlineLvl w:val="1"/>
    </w:pPr>
    <w:rPr>
      <w:rFonts w:eastAsiaTheme="minorHAnsi" w:cs="Times New Roman"/>
      <w:b/>
      <w:color w:val="4F81BD" w:themeColor="accent1"/>
      <w:spacing w:val="20"/>
      <w:kern w:val="24"/>
      <w:sz w:val="28"/>
      <w:szCs w:val="28"/>
      <w:lang w:eastAsia="ja-JP"/>
    </w:rPr>
  </w:style>
  <w:style w:type="paragraph" w:styleId="Heading3">
    <w:name w:val="heading 3"/>
    <w:basedOn w:val="Normal"/>
    <w:next w:val="Normal"/>
    <w:link w:val="Heading3Char"/>
    <w:uiPriority w:val="9"/>
    <w:unhideWhenUsed/>
    <w:qFormat/>
    <w:pPr>
      <w:spacing w:before="240" w:after="60" w:line="264" w:lineRule="auto"/>
      <w:outlineLvl w:val="2"/>
    </w:pPr>
    <w:rPr>
      <w:rFonts w:eastAsiaTheme="minorHAnsi" w:cs="Times New Roman"/>
      <w:b/>
      <w:color w:val="000000" w:themeColor="text1"/>
      <w:spacing w:val="10"/>
      <w:kern w:val="24"/>
      <w:sz w:val="23"/>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6913D290354EE8AF532E12D55F1794">
    <w:name w:val="F06913D290354EE8AF532E12D55F1794"/>
  </w:style>
  <w:style w:type="paragraph" w:customStyle="1" w:styleId="65E474D9666141A1AE318EE43E05DDC3">
    <w:name w:val="65E474D9666141A1AE318EE43E05DDC3"/>
  </w:style>
  <w:style w:type="paragraph" w:customStyle="1" w:styleId="CE0D2AC05AA742EFBDBC05A326A1A166">
    <w:name w:val="CE0D2AC05AA742EFBDBC05A326A1A166"/>
  </w:style>
  <w:style w:type="paragraph" w:customStyle="1" w:styleId="495B9E05F00B40F38AD9ED1F674A3837">
    <w:name w:val="495B9E05F00B40F38AD9ED1F674A3837"/>
  </w:style>
  <w:style w:type="paragraph" w:customStyle="1" w:styleId="AAEBFE8F2E34401AB7F63FFABFB23951">
    <w:name w:val="AAEBFE8F2E34401AB7F63FFABFB23951"/>
  </w:style>
  <w:style w:type="paragraph" w:customStyle="1" w:styleId="AC6C7A98B05F422AB7ED818A0AAAB938">
    <w:name w:val="AC6C7A98B05F422AB7ED818A0AAAB938"/>
  </w:style>
  <w:style w:type="character" w:customStyle="1" w:styleId="Heading1Char">
    <w:name w:val="Heading 1 Char"/>
    <w:basedOn w:val="DefaultParagraphFont"/>
    <w:link w:val="Heading1"/>
    <w:uiPriority w:val="9"/>
    <w:rPr>
      <w:rFonts w:asciiTheme="majorHAnsi" w:eastAsiaTheme="minorHAnsi" w:hAnsiTheme="majorHAnsi" w:cs="Times New Roman"/>
      <w:caps/>
      <w:color w:val="1F497D" w:themeColor="text2"/>
      <w:kern w:val="24"/>
      <w:sz w:val="32"/>
      <w:szCs w:val="32"/>
      <w:lang w:eastAsia="ja-JP"/>
    </w:rPr>
  </w:style>
  <w:style w:type="character" w:customStyle="1" w:styleId="Heading2Char">
    <w:name w:val="Heading 2 Char"/>
    <w:basedOn w:val="DefaultParagraphFont"/>
    <w:link w:val="Heading2"/>
    <w:uiPriority w:val="9"/>
    <w:rPr>
      <w:rFonts w:eastAsiaTheme="minorHAnsi" w:cs="Times New Roman"/>
      <w:b/>
      <w:color w:val="4F81BD" w:themeColor="accent1"/>
      <w:spacing w:val="20"/>
      <w:kern w:val="24"/>
      <w:sz w:val="28"/>
      <w:szCs w:val="28"/>
      <w:lang w:eastAsia="ja-JP"/>
    </w:rPr>
  </w:style>
  <w:style w:type="character" w:customStyle="1" w:styleId="Heading3Char">
    <w:name w:val="Heading 3 Char"/>
    <w:basedOn w:val="DefaultParagraphFont"/>
    <w:link w:val="Heading3"/>
    <w:uiPriority w:val="9"/>
    <w:rPr>
      <w:rFonts w:eastAsiaTheme="minorHAnsi" w:cs="Times New Roman"/>
      <w:b/>
      <w:color w:val="000000" w:themeColor="text1"/>
      <w:spacing w:val="10"/>
      <w:kern w:val="24"/>
      <w:sz w:val="23"/>
      <w:szCs w:val="24"/>
      <w:lang w:eastAsia="ja-JP"/>
    </w:rPr>
  </w:style>
  <w:style w:type="paragraph" w:styleId="IntenseQuote">
    <w:name w:val="Intense Quote"/>
    <w:basedOn w:val="Normal"/>
    <w:link w:val="IntenseQuoteChar"/>
    <w:uiPriority w:val="30"/>
    <w:qFormat/>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line="264" w:lineRule="auto"/>
      <w:ind w:left="720" w:right="720"/>
      <w:contextualSpacing/>
    </w:pPr>
    <w:rPr>
      <w:rFonts w:eastAsiaTheme="minorHAnsi" w:cs="Times New Roman"/>
      <w:b/>
      <w:color w:val="C0504D" w:themeColor="accent2"/>
      <w:kern w:val="24"/>
      <w:sz w:val="23"/>
      <w:szCs w:val="20"/>
      <w:lang w:eastAsia="ja-JP"/>
    </w:rPr>
  </w:style>
  <w:style w:type="character" w:customStyle="1" w:styleId="IntenseQuoteChar">
    <w:name w:val="Intense Quote Char"/>
    <w:basedOn w:val="DefaultParagraphFont"/>
    <w:link w:val="IntenseQuote"/>
    <w:uiPriority w:val="30"/>
    <w:rPr>
      <w:rFonts w:eastAsiaTheme="minorHAnsi" w:cs="Times New Roman"/>
      <w:b/>
      <w:color w:val="C0504D" w:themeColor="accent2"/>
      <w:kern w:val="24"/>
      <w:sz w:val="23"/>
      <w:szCs w:val="20"/>
      <w:shd w:val="clear" w:color="auto" w:fill="FFFFFF" w:themeFill="background1"/>
      <w:lang w:eastAsia="ja-JP"/>
    </w:rPr>
  </w:style>
  <w:style w:type="paragraph" w:customStyle="1" w:styleId="845C89A5D29747E4BB41BA5D1F74F2EC">
    <w:name w:val="845C89A5D29747E4BB41BA5D1F74F2E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unhideWhenUsed/>
    <w:qFormat/>
    <w:pPr>
      <w:spacing w:before="300" w:after="80" w:line="240" w:lineRule="auto"/>
      <w:outlineLvl w:val="0"/>
    </w:pPr>
    <w:rPr>
      <w:rFonts w:asciiTheme="majorHAnsi" w:eastAsiaTheme="minorHAnsi" w:hAnsiTheme="majorHAnsi" w:cs="Times New Roman"/>
      <w:caps/>
      <w:color w:val="1F497D" w:themeColor="text2"/>
      <w:kern w:val="24"/>
      <w:sz w:val="32"/>
      <w:szCs w:val="32"/>
      <w:lang w:eastAsia="ja-JP"/>
    </w:rPr>
  </w:style>
  <w:style w:type="paragraph" w:styleId="Heading2">
    <w:name w:val="heading 2"/>
    <w:basedOn w:val="Normal"/>
    <w:next w:val="Normal"/>
    <w:link w:val="Heading2Char"/>
    <w:uiPriority w:val="9"/>
    <w:unhideWhenUsed/>
    <w:qFormat/>
    <w:pPr>
      <w:spacing w:before="240" w:after="80" w:line="264" w:lineRule="auto"/>
      <w:outlineLvl w:val="1"/>
    </w:pPr>
    <w:rPr>
      <w:rFonts w:eastAsiaTheme="minorHAnsi" w:cs="Times New Roman"/>
      <w:b/>
      <w:color w:val="4F81BD" w:themeColor="accent1"/>
      <w:spacing w:val="20"/>
      <w:kern w:val="24"/>
      <w:sz w:val="28"/>
      <w:szCs w:val="28"/>
      <w:lang w:eastAsia="ja-JP"/>
    </w:rPr>
  </w:style>
  <w:style w:type="paragraph" w:styleId="Heading3">
    <w:name w:val="heading 3"/>
    <w:basedOn w:val="Normal"/>
    <w:next w:val="Normal"/>
    <w:link w:val="Heading3Char"/>
    <w:uiPriority w:val="9"/>
    <w:unhideWhenUsed/>
    <w:qFormat/>
    <w:pPr>
      <w:spacing w:before="240" w:after="60" w:line="264" w:lineRule="auto"/>
      <w:outlineLvl w:val="2"/>
    </w:pPr>
    <w:rPr>
      <w:rFonts w:eastAsiaTheme="minorHAnsi" w:cs="Times New Roman"/>
      <w:b/>
      <w:color w:val="000000" w:themeColor="text1"/>
      <w:spacing w:val="10"/>
      <w:kern w:val="24"/>
      <w:sz w:val="23"/>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6913D290354EE8AF532E12D55F1794">
    <w:name w:val="F06913D290354EE8AF532E12D55F1794"/>
  </w:style>
  <w:style w:type="paragraph" w:customStyle="1" w:styleId="65E474D9666141A1AE318EE43E05DDC3">
    <w:name w:val="65E474D9666141A1AE318EE43E05DDC3"/>
  </w:style>
  <w:style w:type="paragraph" w:customStyle="1" w:styleId="CE0D2AC05AA742EFBDBC05A326A1A166">
    <w:name w:val="CE0D2AC05AA742EFBDBC05A326A1A166"/>
  </w:style>
  <w:style w:type="paragraph" w:customStyle="1" w:styleId="495B9E05F00B40F38AD9ED1F674A3837">
    <w:name w:val="495B9E05F00B40F38AD9ED1F674A3837"/>
  </w:style>
  <w:style w:type="paragraph" w:customStyle="1" w:styleId="AAEBFE8F2E34401AB7F63FFABFB23951">
    <w:name w:val="AAEBFE8F2E34401AB7F63FFABFB23951"/>
  </w:style>
  <w:style w:type="paragraph" w:customStyle="1" w:styleId="AC6C7A98B05F422AB7ED818A0AAAB938">
    <w:name w:val="AC6C7A98B05F422AB7ED818A0AAAB938"/>
  </w:style>
  <w:style w:type="character" w:customStyle="1" w:styleId="Heading1Char">
    <w:name w:val="Heading 1 Char"/>
    <w:basedOn w:val="DefaultParagraphFont"/>
    <w:link w:val="Heading1"/>
    <w:uiPriority w:val="9"/>
    <w:rPr>
      <w:rFonts w:asciiTheme="majorHAnsi" w:eastAsiaTheme="minorHAnsi" w:hAnsiTheme="majorHAnsi" w:cs="Times New Roman"/>
      <w:caps/>
      <w:color w:val="1F497D" w:themeColor="text2"/>
      <w:kern w:val="24"/>
      <w:sz w:val="32"/>
      <w:szCs w:val="32"/>
      <w:lang w:eastAsia="ja-JP"/>
    </w:rPr>
  </w:style>
  <w:style w:type="character" w:customStyle="1" w:styleId="Heading2Char">
    <w:name w:val="Heading 2 Char"/>
    <w:basedOn w:val="DefaultParagraphFont"/>
    <w:link w:val="Heading2"/>
    <w:uiPriority w:val="9"/>
    <w:rPr>
      <w:rFonts w:eastAsiaTheme="minorHAnsi" w:cs="Times New Roman"/>
      <w:b/>
      <w:color w:val="4F81BD" w:themeColor="accent1"/>
      <w:spacing w:val="20"/>
      <w:kern w:val="24"/>
      <w:sz w:val="28"/>
      <w:szCs w:val="28"/>
      <w:lang w:eastAsia="ja-JP"/>
    </w:rPr>
  </w:style>
  <w:style w:type="character" w:customStyle="1" w:styleId="Heading3Char">
    <w:name w:val="Heading 3 Char"/>
    <w:basedOn w:val="DefaultParagraphFont"/>
    <w:link w:val="Heading3"/>
    <w:uiPriority w:val="9"/>
    <w:rPr>
      <w:rFonts w:eastAsiaTheme="minorHAnsi" w:cs="Times New Roman"/>
      <w:b/>
      <w:color w:val="000000" w:themeColor="text1"/>
      <w:spacing w:val="10"/>
      <w:kern w:val="24"/>
      <w:sz w:val="23"/>
      <w:szCs w:val="24"/>
      <w:lang w:eastAsia="ja-JP"/>
    </w:rPr>
  </w:style>
  <w:style w:type="paragraph" w:styleId="IntenseQuote">
    <w:name w:val="Intense Quote"/>
    <w:basedOn w:val="Normal"/>
    <w:link w:val="IntenseQuoteChar"/>
    <w:uiPriority w:val="30"/>
    <w:qFormat/>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line="264" w:lineRule="auto"/>
      <w:ind w:left="720" w:right="720"/>
      <w:contextualSpacing/>
    </w:pPr>
    <w:rPr>
      <w:rFonts w:eastAsiaTheme="minorHAnsi" w:cs="Times New Roman"/>
      <w:b/>
      <w:color w:val="C0504D" w:themeColor="accent2"/>
      <w:kern w:val="24"/>
      <w:sz w:val="23"/>
      <w:szCs w:val="20"/>
      <w:lang w:eastAsia="ja-JP"/>
    </w:rPr>
  </w:style>
  <w:style w:type="character" w:customStyle="1" w:styleId="IntenseQuoteChar">
    <w:name w:val="Intense Quote Char"/>
    <w:basedOn w:val="DefaultParagraphFont"/>
    <w:link w:val="IntenseQuote"/>
    <w:uiPriority w:val="30"/>
    <w:rPr>
      <w:rFonts w:eastAsiaTheme="minorHAnsi" w:cs="Times New Roman"/>
      <w:b/>
      <w:color w:val="C0504D" w:themeColor="accent2"/>
      <w:kern w:val="24"/>
      <w:sz w:val="23"/>
      <w:szCs w:val="20"/>
      <w:shd w:val="clear" w:color="auto" w:fill="FFFFFF" w:themeFill="background1"/>
      <w:lang w:eastAsia="ja-JP"/>
    </w:rPr>
  </w:style>
  <w:style w:type="paragraph" w:customStyle="1" w:styleId="845C89A5D29747E4BB41BA5D1F74F2EC">
    <w:name w:val="845C89A5D29747E4BB41BA5D1F74F2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Median">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2016-06-30T00:00:00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D2B5EB3E-6F92-4073-AC97-174A32E53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MedianReport.dotx</Template>
  <TotalTime>1465</TotalTime>
  <Pages>9</Pages>
  <Words>1811</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Simulated Effects of Tile Drains on Recharge</vt:lpstr>
    </vt:vector>
  </TitlesOfParts>
  <Company/>
  <LinksUpToDate>false</LinksUpToDate>
  <CharactersWithSpaces>12110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Simulated Effects of Tile Drains on Recharge</dc:title>
  <dc:subject>Modeling impacts in the Saginaw Bay Watershed</dc:subject>
  <dc:creator>Jeremiah</dc:creator>
  <cp:lastModifiedBy>Jeremiah</cp:lastModifiedBy>
  <cp:revision>8</cp:revision>
  <cp:lastPrinted>2016-06-27T20:36:00Z</cp:lastPrinted>
  <dcterms:created xsi:type="dcterms:W3CDTF">2016-06-27T18:35:00Z</dcterms:created>
  <dcterms:modified xsi:type="dcterms:W3CDTF">2016-06-29T18:41:00Z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ies>
</file>